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AA10E" w14:textId="77777777" w:rsidR="00F70F7D" w:rsidRPr="00F70F7D" w:rsidRDefault="00F70F7D" w:rsidP="00B577E7">
      <w:pPr>
        <w:spacing w:after="0" w:line="360" w:lineRule="auto"/>
        <w:ind w:left="1418"/>
        <w:jc w:val="right"/>
        <w:rPr>
          <w:rFonts w:ascii="Open Sans" w:eastAsia="Times New Roman" w:hAnsi="Open Sans" w:cs="Open Sans"/>
          <w:b/>
          <w:color w:val="000000" w:themeColor="text1"/>
          <w:sz w:val="18"/>
          <w:szCs w:val="18"/>
        </w:rPr>
      </w:pPr>
    </w:p>
    <w:p w14:paraId="1D3FB03F" w14:textId="6D3DC1B0" w:rsidR="00B577E7" w:rsidRPr="00F70F7D" w:rsidRDefault="00F70F7D" w:rsidP="00B577E7">
      <w:pPr>
        <w:pStyle w:val="Zacznik"/>
        <w:numPr>
          <w:ilvl w:val="0"/>
          <w:numId w:val="0"/>
        </w:numPr>
        <w:spacing w:line="360" w:lineRule="auto"/>
        <w:ind w:firstLine="709"/>
        <w:jc w:val="center"/>
        <w:rPr>
          <w:rFonts w:ascii="Open Sans" w:hAnsi="Open Sans" w:cs="Open Sans"/>
          <w:bCs w:val="0"/>
          <w:color w:val="000000" w:themeColor="text1"/>
          <w:sz w:val="18"/>
          <w:szCs w:val="18"/>
          <w:lang w:eastAsia="en-US"/>
        </w:rPr>
      </w:pPr>
      <w:r w:rsidRPr="00F70F7D">
        <w:rPr>
          <w:rFonts w:ascii="Open Sans" w:hAnsi="Open Sans" w:cs="Open Sans"/>
          <w:bCs w:val="0"/>
          <w:color w:val="000000" w:themeColor="text1"/>
          <w:sz w:val="18"/>
          <w:szCs w:val="18"/>
          <w:lang w:eastAsia="en-US"/>
        </w:rPr>
        <w:t xml:space="preserve">Opis </w:t>
      </w:r>
      <w:r w:rsidR="008F7EAC">
        <w:rPr>
          <w:rFonts w:ascii="Open Sans" w:hAnsi="Open Sans" w:cs="Open Sans"/>
          <w:bCs w:val="0"/>
          <w:color w:val="000000" w:themeColor="text1"/>
          <w:sz w:val="18"/>
          <w:szCs w:val="18"/>
          <w:lang w:eastAsia="en-US"/>
        </w:rPr>
        <w:t>P</w:t>
      </w:r>
      <w:r w:rsidRPr="00F70F7D">
        <w:rPr>
          <w:rFonts w:ascii="Open Sans" w:hAnsi="Open Sans" w:cs="Open Sans"/>
          <w:bCs w:val="0"/>
          <w:color w:val="000000" w:themeColor="text1"/>
          <w:sz w:val="18"/>
          <w:szCs w:val="18"/>
          <w:lang w:eastAsia="en-US"/>
        </w:rPr>
        <w:t xml:space="preserve">rzedmiotu </w:t>
      </w:r>
      <w:r w:rsidR="008F7EAC">
        <w:rPr>
          <w:rFonts w:ascii="Open Sans" w:hAnsi="Open Sans" w:cs="Open Sans"/>
          <w:bCs w:val="0"/>
          <w:color w:val="000000" w:themeColor="text1"/>
          <w:sz w:val="18"/>
          <w:szCs w:val="18"/>
          <w:lang w:eastAsia="en-US"/>
        </w:rPr>
        <w:t>Z</w:t>
      </w:r>
      <w:r w:rsidRPr="00F70F7D">
        <w:rPr>
          <w:rFonts w:ascii="Open Sans" w:hAnsi="Open Sans" w:cs="Open Sans"/>
          <w:bCs w:val="0"/>
          <w:color w:val="000000" w:themeColor="text1"/>
          <w:sz w:val="18"/>
          <w:szCs w:val="18"/>
          <w:lang w:eastAsia="en-US"/>
        </w:rPr>
        <w:t>amówienia dla części 2 postępowania</w:t>
      </w:r>
    </w:p>
    <w:p w14:paraId="2F59217A" w14:textId="77777777" w:rsidR="00B577E7" w:rsidRPr="00F70F7D" w:rsidRDefault="00B577E7" w:rsidP="00B577E7">
      <w:pPr>
        <w:spacing w:line="360" w:lineRule="auto"/>
        <w:jc w:val="left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I.</w:t>
      </w: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ab/>
        <w:t>Opis przedmiotu zamówienia:</w:t>
      </w:r>
    </w:p>
    <w:p w14:paraId="09660ED4" w14:textId="5EFF4FAC" w:rsidR="00B577E7" w:rsidRPr="00F70F7D" w:rsidRDefault="00B577E7" w:rsidP="00B577E7">
      <w:pPr>
        <w:pStyle w:val="Akapitzlist"/>
        <w:spacing w:line="360" w:lineRule="auto"/>
        <w:ind w:left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Przedmiotem zamówienia jest świadczenie usługi dostępu do Systemu Informacji Prawnej (zwany dalej SIP) w trybie on-line przez Internet, </w:t>
      </w:r>
      <w:r w:rsidR="0008040A"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umożliwiając</w:t>
      </w:r>
      <w:r w:rsidR="0008040A">
        <w:rPr>
          <w:rFonts w:ascii="Open Sans" w:hAnsi="Open Sans" w:cs="Open Sans"/>
          <w:bCs/>
          <w:color w:val="000000" w:themeColor="text1"/>
          <w:sz w:val="18"/>
          <w:szCs w:val="18"/>
        </w:rPr>
        <w:t>ej</w:t>
      </w:r>
      <w:r w:rsidR="0008040A"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dostęp dla 400 użytkowników równoczesnych.</w:t>
      </w:r>
    </w:p>
    <w:p w14:paraId="2B5395C3" w14:textId="77777777" w:rsidR="00B577E7" w:rsidRPr="00F70F7D" w:rsidRDefault="00B577E7" w:rsidP="00B577E7">
      <w:pPr>
        <w:spacing w:line="360" w:lineRule="auto"/>
        <w:jc w:val="left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II.</w:t>
      </w: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ab/>
        <w:t>Wymagania ogólne:</w:t>
      </w:r>
    </w:p>
    <w:p w14:paraId="40A51CE7" w14:textId="77777777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Aplikacja, baza danych i inne oprogramowanie niezbędne do funkcjonowania SIP, musza być zainstalowane na serwerach Wykonawcy.</w:t>
      </w:r>
    </w:p>
    <w:p w14:paraId="19529333" w14:textId="77777777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Użytkownicy </w:t>
      </w:r>
      <w:bookmarkStart w:id="0" w:name="_Hlk214968910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będą korzystać </w:t>
      </w:r>
      <w:bookmarkEnd w:id="0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z SIP </w:t>
      </w:r>
      <w:bookmarkStart w:id="1" w:name="_Hlk214968925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poprzez sieć </w:t>
      </w:r>
      <w:bookmarkEnd w:id="1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Internet przy użyciu powszechnie używanych przeglądarek internetowych (np. </w:t>
      </w:r>
      <w:proofErr w:type="spellStart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Firefox</w:t>
      </w:r>
      <w:proofErr w:type="spellEnd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, Chrome, Edge). </w:t>
      </w:r>
    </w:p>
    <w:p w14:paraId="0FE5D7BC" w14:textId="03A05B6B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bookmarkStart w:id="2" w:name="_Hlk214969132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Uprawnienia dostępu on-line przez Internet, o których mowa w sekcji I, nie mogą ograniczać liczby użytkowników, którzy będą korzystać z SIP w sposób nierównoczesny. Jedynym ograniczeniem ilościowym dla tej wersji dostępów jest liczba równoczesnych użytkowników korzystających z SIP, określona w przedmiocie zamówienia. </w:t>
      </w:r>
      <w:bookmarkEnd w:id="2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Sesja użytkownika, który uzyska dostęp do systemu, ale jest nieaktywny, powinna być przez SIP zamykana po najdalej 3 godzinach nieaktywności i nie liczona w ramach puli dostępów równoczesnych.</w:t>
      </w:r>
    </w:p>
    <w:p w14:paraId="7F91F05B" w14:textId="4BA5F637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Wykonawca dostarczy uprawnienia dostępu przez przeglądarkę </w:t>
      </w:r>
      <w:r w:rsidR="00F11211" w:rsidRPr="006C11AA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internetową 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do narzędzi administracyjnych służących do zarządzania użytkownikami Zamawiającego w SIP.</w:t>
      </w:r>
    </w:p>
    <w:p w14:paraId="5D15219B" w14:textId="15D0259D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Wykonawca zapewni integrację SIP z </w:t>
      </w:r>
      <w:r w:rsidR="00DC6179">
        <w:rPr>
          <w:rFonts w:ascii="Open Sans" w:hAnsi="Open Sans" w:cs="Open Sans"/>
          <w:bCs/>
          <w:color w:val="000000" w:themeColor="text1"/>
          <w:sz w:val="18"/>
          <w:szCs w:val="18"/>
        </w:rPr>
        <w:t>usługami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Active Directory</w:t>
      </w:r>
      <w:r w:rsidR="00DC6179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</w:t>
      </w:r>
      <w:proofErr w:type="spellStart"/>
      <w:r w:rsidR="00DC6179">
        <w:rPr>
          <w:rFonts w:ascii="Open Sans" w:hAnsi="Open Sans" w:cs="Open Sans"/>
          <w:bCs/>
          <w:color w:val="000000" w:themeColor="text1"/>
          <w:sz w:val="18"/>
          <w:szCs w:val="18"/>
        </w:rPr>
        <w:t>Federation</w:t>
      </w:r>
      <w:proofErr w:type="spellEnd"/>
      <w:r w:rsidR="00DC6179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Services (ADFS)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Zamawiającego, umożliwiającą automatyczne identyfikowanie, uwierzytelnianie i autoryzowanie użytkowników Zamawiającego w SIP.</w:t>
      </w:r>
      <w:r w:rsidRPr="00F70F7D">
        <w:rPr>
          <w:rFonts w:ascii="Open Sans" w:hAnsi="Open Sans" w:cs="Open Sans"/>
          <w:color w:val="000000" w:themeColor="text1"/>
          <w:sz w:val="18"/>
          <w:szCs w:val="18"/>
        </w:rPr>
        <w:t xml:space="preserve"> </w:t>
      </w:r>
      <w:r w:rsidR="00DC6179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Integracja ta może być oparta 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na bazie standardu SAML.</w:t>
      </w:r>
    </w:p>
    <w:p w14:paraId="0EB72528" w14:textId="77777777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Wykonawca, każdorazowo na wniosek Zamawiającego, dostarczy Zamawiającemu zestawienie prezentujące dane statystyczne z użycia SIP przez Zamawiającego w żądanym okresie czasu lub udostępni Zamawiającemu, poprzez interfejs webowy, możliwość samodzielnego generowania takich zestawień. Ww. zestawienie powinno w szczególności zawierać informację o maksymalnej liczbie jednocześnie zalogowanych użytkowników Zamawiającego w SIP.</w:t>
      </w:r>
    </w:p>
    <w:p w14:paraId="23192DF3" w14:textId="77777777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Aktualizacje SIP na serwerach Wykonawcy, w szczególności jego zawartości merytorycznej, będą realizowane na bieżąco, nie rzadziej niż co tydzień.</w:t>
      </w:r>
    </w:p>
    <w:p w14:paraId="18048285" w14:textId="77777777" w:rsidR="00B577E7" w:rsidRPr="00F70F7D" w:rsidRDefault="00B577E7" w:rsidP="00B577E7">
      <w:pPr>
        <w:pStyle w:val="Akapitzlist"/>
        <w:numPr>
          <w:ilvl w:val="3"/>
          <w:numId w:val="3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 godzinach od 6 do 22 każdego dnia dostępność SIP nie może być niższa niż 97% (liczona jako współczynnik czasu dostępności do czasu ogółem, w skali tygodnia).</w:t>
      </w:r>
    </w:p>
    <w:p w14:paraId="000FE77C" w14:textId="77777777" w:rsidR="00B577E7" w:rsidRPr="00F70F7D" w:rsidRDefault="00B577E7" w:rsidP="00B577E7">
      <w:pPr>
        <w:spacing w:line="360" w:lineRule="auto"/>
        <w:jc w:val="left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III.</w:t>
      </w: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ab/>
        <w:t>Wymagania dotyczące instruktażu:</w:t>
      </w:r>
    </w:p>
    <w:p w14:paraId="7D30383D" w14:textId="77777777" w:rsidR="00B577E7" w:rsidRPr="00F70F7D" w:rsidRDefault="00B577E7" w:rsidP="00B577E7">
      <w:p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 cenie oferowanych dostępów do SIP Wykonawca zobowiązany jest do umożliwienia uczestnictwa pracowników Zamawiającego w instruktażach realizowanych w postaci webinariów (tj. przez Internet), w zakresie zasad posługiwania się Systemem Informacji Prawnej.</w:t>
      </w:r>
    </w:p>
    <w:p w14:paraId="3DEA8535" w14:textId="77777777" w:rsidR="00B577E7" w:rsidRPr="00F70F7D" w:rsidRDefault="00B577E7" w:rsidP="00B577E7">
      <w:pPr>
        <w:spacing w:line="360" w:lineRule="auto"/>
        <w:jc w:val="left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IV.</w:t>
      </w: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ab/>
        <w:t>Wymagania dotyczące zawartości merytorycznej:</w:t>
      </w:r>
    </w:p>
    <w:p w14:paraId="69050BE8" w14:textId="77777777" w:rsidR="00B577E7" w:rsidRPr="00F70F7D" w:rsidRDefault="00B577E7" w:rsidP="00B577E7">
      <w:pPr>
        <w:spacing w:line="360" w:lineRule="auto"/>
        <w:jc w:val="left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>Opisane poniżej wymagania mają charakter minimalny. Wykonawca może zaproponować szerszy zakres zawartości i funkcjonalności.</w:t>
      </w:r>
    </w:p>
    <w:p w14:paraId="01A6B254" w14:textId="77777777" w:rsidR="00B577E7" w:rsidRPr="00F70F7D" w:rsidRDefault="00B577E7" w:rsidP="00B577E7">
      <w:pPr>
        <w:spacing w:after="200" w:line="360" w:lineRule="auto"/>
        <w:jc w:val="left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IV a) Minimalny zakres informacji udostępnianych w Systemie Informacji Prawnej</w:t>
      </w:r>
    </w:p>
    <w:p w14:paraId="7313FB55" w14:textId="77777777" w:rsidR="00B577E7" w:rsidRPr="00F70F7D" w:rsidRDefault="00B577E7" w:rsidP="00B577E7">
      <w:pPr>
        <w:spacing w:after="200" w:line="360" w:lineRule="auto"/>
        <w:jc w:val="left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A) Dziennik Ustaw</w:t>
      </w:r>
    </w:p>
    <w:p w14:paraId="609DDC45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Komplet informacji formalnych o aktach od 1918 roku (co najmniej: adres publikacyjny, tytuł, organ wydający, data uchwalenia lub wydania aktu, data ogłoszenia, data wejścia w życie, data utraty mocy, tekst aktu, informacja czy obowiązujący czy archiwalny) publikowanych w Dzienniku Ustaw.</w:t>
      </w:r>
    </w:p>
    <w:p w14:paraId="23183A21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Komplet tekstów projektów ustaw wraz z uzasadnieniami wniesionymi od III kadencji Sejmu z system relacji z aktami obowiązującymi (zmienia/uchyla). Możliwość przeglądania tekstów projektów nowelizacji aktu prawnego z poziomu samego aktu prawnego.</w:t>
      </w:r>
    </w:p>
    <w:p w14:paraId="737ACF83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Wszystkie akty obowiązujące oraz oczekujące.</w:t>
      </w:r>
    </w:p>
    <w:p w14:paraId="4977D863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udostępniania kolejnych wersji historycznych aktów obowiązujących i uchylonych.</w:t>
      </w:r>
    </w:p>
    <w:p w14:paraId="15B53B4A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Wzajemne powiązania formalne między aktami (co najmniej relacje typu: zmienia - zmieniony przez, uchyla - uchylony przez, wykonuje - wykonywany przez, ujednolica - ujednolicony przez, wprowadza - wprowadzony przez, interpretuje - interpretowany przez, implementuje - implementowany przez, zastępuje - zastępowany przez).</w:t>
      </w:r>
    </w:p>
    <w:p w14:paraId="64B039E2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przywołanych w aktach przepisów innych aktów prawnych, aktów wykonawczych z poziomu tekstu aktu i konkretnych jednostek redakcyjnych.</w:t>
      </w:r>
    </w:p>
    <w:p w14:paraId="57A96F30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orzeczeń z poziomu tekstu aktu i konkretnych jednostek redakcyjnych.</w:t>
      </w:r>
    </w:p>
    <w:p w14:paraId="1A1B6758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cytatów/tez z piśmiennictwa prawniczego z poziomu tekstu aktu i konkretnych jednostek redakcyjnych.</w:t>
      </w:r>
    </w:p>
    <w:p w14:paraId="28586BD1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komentarzy z poziomu tekstu aktu prawnego i konkretnych jednostek redakcyjnych.</w:t>
      </w:r>
    </w:p>
    <w:p w14:paraId="632D0A63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monografii z poziomu tekstu aktu prawnego i konkretnych jednostek redakcyjnych.</w:t>
      </w:r>
    </w:p>
    <w:p w14:paraId="51F47385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wzorów dokumentów z poziomu tekstu aktu prawnego i konkretnych jednostek redakcyjnych.</w:t>
      </w:r>
    </w:p>
    <w:p w14:paraId="2A00A350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pism urzędowych z poziomu tekstu aktu prawnego i konkretnych jednostek redakcyjnych.</w:t>
      </w:r>
    </w:p>
    <w:p w14:paraId="75860069" w14:textId="77777777" w:rsidR="00B577E7" w:rsidRPr="00F70F7D" w:rsidRDefault="00B577E7" w:rsidP="00B577E7">
      <w:pPr>
        <w:pStyle w:val="Akapitzlist"/>
        <w:numPr>
          <w:ilvl w:val="3"/>
          <w:numId w:val="4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przeglądania tekstów projektów mogących zmienić akt obowiązujący z poziomu aktu prawnego, którego dotyczy projekt.</w:t>
      </w:r>
    </w:p>
    <w:p w14:paraId="30CABFDF" w14:textId="77777777" w:rsidR="00B577E7" w:rsidRPr="00F70F7D" w:rsidRDefault="00B577E7" w:rsidP="00B577E7">
      <w:p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</w:p>
    <w:p w14:paraId="6D2F8E13" w14:textId="77777777" w:rsidR="00B577E7" w:rsidRPr="00F70F7D" w:rsidRDefault="00B577E7" w:rsidP="00B577E7">
      <w:p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B)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</w:t>
      </w:r>
      <w:r w:rsidRPr="00F70F7D">
        <w:rPr>
          <w:rStyle w:val="Teksttreci2Pogrubienie"/>
          <w:rFonts w:ascii="Open Sans" w:hAnsi="Open Sans" w:cs="Open Sans"/>
          <w:color w:val="000000" w:themeColor="text1"/>
          <w:sz w:val="18"/>
          <w:szCs w:val="18"/>
        </w:rPr>
        <w:t>Monitor Polski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</w:t>
      </w:r>
    </w:p>
    <w:p w14:paraId="546A545B" w14:textId="77777777" w:rsidR="00B577E7" w:rsidRPr="00F70F7D" w:rsidRDefault="00B577E7" w:rsidP="00B577E7">
      <w:pPr>
        <w:pStyle w:val="Akapitzlist"/>
        <w:numPr>
          <w:ilvl w:val="3"/>
          <w:numId w:val="5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Komplet informacji formalnych o aktach od 1918 roku (co najmniej: adres publikacyjny, tytuł, organ wydający, data uchwalenia lub wydania aktu, data ogłoszenia, data wejścia w życie, data utraty mocy, tekst aktu, informacja czy obowiązujący czy archiwalny) publikowanych w Monitorze Polskim.</w:t>
      </w:r>
    </w:p>
    <w:p w14:paraId="0E32FECE" w14:textId="77777777" w:rsidR="00B577E7" w:rsidRPr="00F70F7D" w:rsidRDefault="00B577E7" w:rsidP="00B577E7">
      <w:pPr>
        <w:pStyle w:val="Akapitzlist"/>
        <w:numPr>
          <w:ilvl w:val="3"/>
          <w:numId w:val="5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Komplet tekstów aktów ujednoliconych i ocenionych, co do obowiązywania, opublikowanych od 1960 r.</w:t>
      </w:r>
    </w:p>
    <w:p w14:paraId="5565CCD9" w14:textId="77777777" w:rsidR="00B577E7" w:rsidRPr="00F70F7D" w:rsidRDefault="00B577E7" w:rsidP="00B577E7">
      <w:pPr>
        <w:pStyle w:val="Akapitzlist"/>
        <w:numPr>
          <w:ilvl w:val="3"/>
          <w:numId w:val="5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Wszystkie akty obowiązujące oraz oczekujące.</w:t>
      </w:r>
    </w:p>
    <w:p w14:paraId="3D707A86" w14:textId="77777777" w:rsidR="00B577E7" w:rsidRPr="00F70F7D" w:rsidRDefault="00B577E7" w:rsidP="00B577E7">
      <w:pPr>
        <w:pStyle w:val="Akapitzlist"/>
        <w:numPr>
          <w:ilvl w:val="3"/>
          <w:numId w:val="5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>Komplet tekstów pierwotnych aktów prawnych (zeskanowanych) identycznych co do formy, jak tekst opublikowany w wersji papierowej w Dzienniku Ustaw i Monitorze Polskim (dotyczy wersji papierowej do 2012r.). Dopuszcza się możliwość przeglądania poprzez Internet.</w:t>
      </w:r>
    </w:p>
    <w:p w14:paraId="1F192A6B" w14:textId="77777777" w:rsidR="00B577E7" w:rsidRPr="00F70F7D" w:rsidRDefault="00B577E7" w:rsidP="00B577E7">
      <w:pPr>
        <w:pStyle w:val="Akapitzlist"/>
        <w:numPr>
          <w:ilvl w:val="3"/>
          <w:numId w:val="5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Wzory pism (w tym m.in. procesowe i formularze procesowe) i umów, w tym zbiór obowiązujących formularzy urzędowych opublikowanych w Dziennikach Ustaw i Monitorach Polskich, wzory pism związanych z procesem udzielania zamówień publicznych z poziomu konkretnych jednostek redakcyjnych. Dopuszcza się dostęp do tych dokumentów przez Internet.</w:t>
      </w:r>
    </w:p>
    <w:p w14:paraId="237D0624" w14:textId="77777777" w:rsidR="00B577E7" w:rsidRPr="00F70F7D" w:rsidRDefault="00B577E7" w:rsidP="00B577E7">
      <w:pPr>
        <w:spacing w:line="360" w:lineRule="auto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C) Dzienniki Urzędowe</w:t>
      </w:r>
    </w:p>
    <w:p w14:paraId="0E61608F" w14:textId="77777777" w:rsidR="00B577E7" w:rsidRPr="00F70F7D" w:rsidRDefault="00B577E7" w:rsidP="00B577E7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Ujednolicone teksty aktów prawnych opublikowanych w Dziennikach Urzędowych naczelnych i centralnych organów administracji rządowej (aktualnych i stanowiących kontynuację dzienników wydawanych przez urząd występujący pod inną nazwą), w tym:</w:t>
      </w:r>
    </w:p>
    <w:p w14:paraId="48C1FA62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Biuletyn Informacyjny Lasów Państwowych co najmniej od 2001 r.</w:t>
      </w:r>
    </w:p>
    <w:p w14:paraId="54AF506D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Agencji Bezpieczeństwa Wewnętrznego co najmniej od 2009 r.</w:t>
      </w:r>
    </w:p>
    <w:p w14:paraId="64AD42BB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Agencji Wywiadu co najmniej od 2010 r.</w:t>
      </w:r>
    </w:p>
    <w:p w14:paraId="65E5F7AB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Centralnego Biura Antykorupcyjnego co najmniej od 2007 r.</w:t>
      </w:r>
    </w:p>
    <w:p w14:paraId="425B3F00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Centralnego Zarządu Służby Więziennej co najmniej od 2004 r.</w:t>
      </w:r>
    </w:p>
    <w:p w14:paraId="418CC1B6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Generalnej Dyrekcji Dróg Krajowych i Autostrad co najmniej od 2014 r.</w:t>
      </w:r>
    </w:p>
    <w:p w14:paraId="4FF02D5F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Generalnej Dyrekcji Ochrony Środowiska co najmniej od 2011 r.</w:t>
      </w:r>
    </w:p>
    <w:p w14:paraId="4C096F93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Głównego Inspektora Ochrony Środowiska co najmniej od 2012 r.</w:t>
      </w:r>
    </w:p>
    <w:p w14:paraId="210A40FB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Dziennik Urzędowy Głównego Inspektoratu Transportu Drogowego co najmniej od 2014 r.</w:t>
      </w:r>
    </w:p>
    <w:p w14:paraId="216BAA36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Głównego Urzędu Miar co najmniej od 2001 r.</w:t>
      </w:r>
    </w:p>
    <w:p w14:paraId="3A6DA8F8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Głównego Urzędu Statystycznego co najmniej od 1980 r.</w:t>
      </w:r>
    </w:p>
    <w:p w14:paraId="1BF7F349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  Dziennik Urzędowy Komendy Głównej Państwowej Straży Pożarnej co najmniej od 2001 r.</w:t>
      </w:r>
    </w:p>
    <w:p w14:paraId="123CEC0C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Komendy Głównej Policji co najmniej od 2000 r.</w:t>
      </w:r>
    </w:p>
    <w:p w14:paraId="4638487F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Komendy Głównej Straży Granicznej co najmniej od 2001 r.</w:t>
      </w:r>
    </w:p>
    <w:p w14:paraId="78421C8E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Komisji Nadzoru Finansowego co najmniej od 2006 r.</w:t>
      </w:r>
    </w:p>
    <w:p w14:paraId="1B4E6D6C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Komisji Nadzoru Ubezpieczeń i Funduszy Emerytalnych co najmniej od 2003 r.</w:t>
      </w:r>
    </w:p>
    <w:p w14:paraId="2AC88933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Komisji Papierów Wartościowych i Giełd co najmniej od 1998 r.</w:t>
      </w:r>
    </w:p>
    <w:p w14:paraId="6A442F82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Komitetu Integracji Europejskiej co najmniej od 2000 r.</w:t>
      </w:r>
    </w:p>
    <w:p w14:paraId="54DF811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Administracji i Cyfryzacji co najmniej od 2012 r.</w:t>
      </w:r>
    </w:p>
    <w:p w14:paraId="1D683AA8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Aktywów Państwowych od 2020 r.</w:t>
      </w:r>
    </w:p>
    <w:p w14:paraId="429EF6B4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Budownictwa co najmniej od 2006 r.</w:t>
      </w:r>
    </w:p>
    <w:p w14:paraId="676B2FA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after="0"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Cyfryzacji co najmniej od 2015 r.</w:t>
      </w:r>
    </w:p>
    <w:p w14:paraId="161018D3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after="0"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Edukacji Narodowej co najmniej od 1998 r.</w:t>
      </w:r>
    </w:p>
    <w:p w14:paraId="02951380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Energii co najmniej od 2016 r.</w:t>
      </w:r>
    </w:p>
    <w:p w14:paraId="2C19B57F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Finansów co najmniej od 1971 r.</w:t>
      </w:r>
    </w:p>
    <w:p w14:paraId="7154921E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Gospodarki co najmniej od 2008 r.</w:t>
      </w:r>
    </w:p>
    <w:p w14:paraId="54767698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ab/>
        <w:t>Dziennik Urzędowy Ministra Gospodarki Morskiej co najmniej od 2006 r.</w:t>
      </w:r>
    </w:p>
    <w:p w14:paraId="5FB07C0F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Infrastruktury co najmniej od 2001 r.</w:t>
      </w:r>
    </w:p>
    <w:p w14:paraId="1094394C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Infrastruktury i Rozwoju co najmniej od 2013 r.</w:t>
      </w:r>
    </w:p>
    <w:p w14:paraId="2166D70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Inwestycji i Rozwoju co najmniej od 2018 r.</w:t>
      </w:r>
    </w:p>
    <w:p w14:paraId="0153E6C9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Kultury co najmniej od 2001 r.</w:t>
      </w:r>
    </w:p>
    <w:p w14:paraId="0AC96C30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Nauki i Informatyzacji co najmniej od 2001 r.</w:t>
      </w:r>
    </w:p>
    <w:p w14:paraId="6C4825A2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Nauki i Szkolnictwa Wyższego co najmniej od 2006 r.</w:t>
      </w:r>
    </w:p>
    <w:p w14:paraId="26D8A609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Obrony Narodowej co najmniej od 2001 r.</w:t>
      </w:r>
    </w:p>
    <w:p w14:paraId="606671F9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Pracy i Polityki Socjalnej co najmniej od 1988 r.</w:t>
      </w:r>
    </w:p>
    <w:p w14:paraId="552F3AF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Rodziny, Pracy i Polityki Społecznej co najmniej od 2015 r.</w:t>
      </w:r>
    </w:p>
    <w:p w14:paraId="0FF609F3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Rodziny i Polityki Społecznej co najmniej od 2020 r.</w:t>
      </w:r>
    </w:p>
    <w:p w14:paraId="6CE85830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Przedsiębiorczości i Technologii co najmniej od 2018 r.</w:t>
      </w:r>
    </w:p>
    <w:p w14:paraId="288C0A06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Rolnictwa i Rozwoju Wsi co najmniej od 1999 r.</w:t>
      </w:r>
    </w:p>
    <w:p w14:paraId="1F6940E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Rozwoju, Pracy i Technologii co najmniej od 2020 r. Dziennik Urzędowy  Ministra Rozwoju i Finansów co najmniej od 2016 r.</w:t>
      </w:r>
    </w:p>
    <w:p w14:paraId="23EBA4A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Rozwoju Regionalnego co najmniej od 2013 r.</w:t>
      </w:r>
    </w:p>
    <w:p w14:paraId="22186021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Skarbu Państwa co najmniej od 2002 r.</w:t>
      </w:r>
    </w:p>
    <w:p w14:paraId="1C2C9414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Sportu i Turystyki co najmniej od 2012 r.</w:t>
      </w:r>
    </w:p>
    <w:p w14:paraId="75397EAE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Spraw Wewnętrznych co najmniej od 1992 r.</w:t>
      </w:r>
    </w:p>
    <w:p w14:paraId="39BDDAFD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Spraw Zagranicznych co najmniej od 2001 r.</w:t>
      </w:r>
    </w:p>
    <w:p w14:paraId="4386E67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Sprawiedliwości co najmniej od 1998 r.</w:t>
      </w:r>
    </w:p>
    <w:p w14:paraId="294432CE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Środowiska co najmniej od 2002 r.</w:t>
      </w:r>
    </w:p>
    <w:p w14:paraId="385DDEEE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Transportu co najmniej od 2006 r.</w:t>
      </w:r>
    </w:p>
    <w:p w14:paraId="043E1EFD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Transportu i Budownictwa co najmniej od 2005 r.</w:t>
      </w:r>
    </w:p>
    <w:p w14:paraId="5E37912C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Transportu i Gospodarki Morskiej co najmniej od 2001 r.</w:t>
      </w:r>
    </w:p>
    <w:p w14:paraId="14C926D8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Transportu, Budownictwa i Gospodarki Morskiej co najmniej od 2011 r.</w:t>
      </w:r>
    </w:p>
    <w:p w14:paraId="03E3E87E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Zdrowia co najmniej od 1984 r.</w:t>
      </w:r>
    </w:p>
    <w:p w14:paraId="595AC9D7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Ministra Finansów Funduszy i Polityki Regionalnej.</w:t>
      </w:r>
    </w:p>
    <w:p w14:paraId="0AFE336C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Narodowego Banku Polskiego co najmniej od 1982 r.</w:t>
      </w:r>
    </w:p>
    <w:p w14:paraId="55076271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Państwowej Agencji Atomistyki co najmniej od 2010 r.</w:t>
      </w:r>
    </w:p>
    <w:p w14:paraId="17586956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Prezesa Kasy Rolniczego Ubezpieczenia Społecznego co najmniej od 2002 r.</w:t>
      </w:r>
    </w:p>
    <w:p w14:paraId="35CDCB61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Urzędu Komunikacji Elektronicznej co najmniej od 2006 r.</w:t>
      </w:r>
    </w:p>
    <w:p w14:paraId="3300187D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Urzędu Lotnictwa Cywilnego co najmniej od 2003 r.</w:t>
      </w:r>
    </w:p>
    <w:p w14:paraId="25B83B7E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Urzędu Mieszkalnictwa i Rozwoju Miast co najmniej od 2001 r.</w:t>
      </w:r>
    </w:p>
    <w:p w14:paraId="27CF2093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Urzędu Ochrony Konkurencji i Konsumentów co najmniej od 2001 r.</w:t>
      </w:r>
    </w:p>
    <w:p w14:paraId="50216C09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Urzędu Patentowego Rzeczypospolitej Polskiej co najmniej od 2001 r.</w:t>
      </w:r>
    </w:p>
    <w:p w14:paraId="2D3A7DCC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Urzędu Rejestracji Produktów Leczniczych, Wyrobów Medycznych i Produktów Biobójczych co najmniej od 2011 r.</w:t>
      </w:r>
    </w:p>
    <w:p w14:paraId="37F8BD7F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ab/>
        <w:t>Dziennik Urzędowy Wyższego Urzędu Górniczego co najmniej od 2002 r.</w:t>
      </w:r>
    </w:p>
    <w:p w14:paraId="5C8A886D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Dziennik Urzędowy Zakładu Ubezpieczeń Społecznych co najmniej od 1980 r.</w:t>
      </w:r>
    </w:p>
    <w:p w14:paraId="49A0AEE4" w14:textId="77777777" w:rsidR="00B577E7" w:rsidRPr="00F70F7D" w:rsidRDefault="00B577E7" w:rsidP="00B577E7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ab/>
        <w:t>Zarządzenia Prezesa Narodowego Funduszu Zdrowia co najmniej od 2007 r.</w:t>
      </w:r>
    </w:p>
    <w:p w14:paraId="34622CE2" w14:textId="77777777" w:rsidR="00B577E7" w:rsidRPr="00F70F7D" w:rsidRDefault="00B577E7" w:rsidP="00B577E7">
      <w:pPr>
        <w:spacing w:line="360" w:lineRule="auto"/>
        <w:ind w:left="284" w:hanging="284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D) Dzienniki Urzędowe Unii Europejskiej</w:t>
      </w:r>
    </w:p>
    <w:p w14:paraId="35609B97" w14:textId="77777777" w:rsidR="00B577E7" w:rsidRPr="00F70F7D" w:rsidRDefault="00B577E7" w:rsidP="00B577E7">
      <w:pPr>
        <w:spacing w:line="360" w:lineRule="auto"/>
        <w:ind w:left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(seria L - wydanie polskie, seria C - wydanie polskie, polskie wydanie specjalne)</w:t>
      </w:r>
    </w:p>
    <w:p w14:paraId="563DC041" w14:textId="77777777" w:rsidR="00B577E7" w:rsidRPr="00F70F7D" w:rsidRDefault="00B577E7" w:rsidP="00B577E7">
      <w:pPr>
        <w:pStyle w:val="Akapitzlist"/>
        <w:numPr>
          <w:ilvl w:val="3"/>
          <w:numId w:val="7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Komplet informacji formalnych o aktach opublikowanych w tych dziennikach (co najmniej: identyfikator, tytuł, organ wydający, data uchwalenia lub wydania aktu, data ogłoszenia, data wejścia w życie).</w:t>
      </w:r>
    </w:p>
    <w:p w14:paraId="1A0553A2" w14:textId="77777777" w:rsidR="00B577E7" w:rsidRPr="00F70F7D" w:rsidRDefault="00B577E7" w:rsidP="00B577E7">
      <w:pPr>
        <w:pStyle w:val="Akapitzlist"/>
        <w:numPr>
          <w:ilvl w:val="3"/>
          <w:numId w:val="7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Ujednolicone teksty aktów prawnych ukazujących się w języku polskim opublikowane od 1 maja 2004 r. wraz z oceną co do obowiązywania.</w:t>
      </w:r>
    </w:p>
    <w:p w14:paraId="59663568" w14:textId="77777777" w:rsidR="00B577E7" w:rsidRPr="00F70F7D" w:rsidRDefault="00B577E7" w:rsidP="00B577E7">
      <w:pPr>
        <w:pStyle w:val="Akapitzlist"/>
        <w:numPr>
          <w:ilvl w:val="3"/>
          <w:numId w:val="7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Wszystkie akty obowiązujące oraz oczekujące.</w:t>
      </w:r>
    </w:p>
    <w:p w14:paraId="411BC287" w14:textId="77777777" w:rsidR="00B577E7" w:rsidRPr="00F70F7D" w:rsidRDefault="00B577E7" w:rsidP="00B577E7">
      <w:pPr>
        <w:pStyle w:val="Akapitzlist"/>
        <w:numPr>
          <w:ilvl w:val="3"/>
          <w:numId w:val="7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udostępniania kolejnych wersji historycznych aktów obowiązujących i uchylonych.</w:t>
      </w:r>
    </w:p>
    <w:p w14:paraId="61029686" w14:textId="77777777" w:rsidR="00B577E7" w:rsidRPr="00F70F7D" w:rsidRDefault="00B577E7" w:rsidP="00B577E7">
      <w:pPr>
        <w:pStyle w:val="Akapitzlist"/>
        <w:numPr>
          <w:ilvl w:val="3"/>
          <w:numId w:val="7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Wzajemne powiązania formalne między aktami (co najmniej relacje typu: zmienia - zmieniany przez, uchyla - uchylony przez, wykonuje - wykonywany przez).</w:t>
      </w:r>
    </w:p>
    <w:p w14:paraId="3B557895" w14:textId="77777777" w:rsidR="00B577E7" w:rsidRPr="00F70F7D" w:rsidRDefault="00B577E7" w:rsidP="00B577E7">
      <w:pPr>
        <w:pStyle w:val="Akapitzlist"/>
        <w:numPr>
          <w:ilvl w:val="3"/>
          <w:numId w:val="7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Odwołania do przywołanych w aktach przepisów innych aktów prawnych, aktów wykonawczych z poziomu tekstu aktu (dla serii L).</w:t>
      </w:r>
    </w:p>
    <w:p w14:paraId="58FFC72A" w14:textId="77777777" w:rsidR="00B577E7" w:rsidRPr="00F70F7D" w:rsidRDefault="00B577E7" w:rsidP="00B577E7">
      <w:pPr>
        <w:spacing w:line="360" w:lineRule="auto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E) Orzecznictwo sądów, orzecznictwo administracji i pisma urzędowe</w:t>
      </w:r>
    </w:p>
    <w:p w14:paraId="67888AB2" w14:textId="77777777" w:rsidR="00B577E7" w:rsidRPr="00F70F7D" w:rsidRDefault="00B577E7" w:rsidP="00B577E7">
      <w:pPr>
        <w:pStyle w:val="Akapitzlist"/>
        <w:numPr>
          <w:ilvl w:val="0"/>
          <w:numId w:val="8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Orzeczenia publikowane w zbiorach urzędowych, wydawnictwach prawniczych oraz pochodzące z baz dostępnych na stronach internetowych.</w:t>
      </w:r>
    </w:p>
    <w:p w14:paraId="7C3DB2D7" w14:textId="77777777" w:rsidR="00B577E7" w:rsidRPr="00F70F7D" w:rsidRDefault="00B577E7" w:rsidP="00B577E7">
      <w:pPr>
        <w:pStyle w:val="Akapitzlist"/>
        <w:numPr>
          <w:ilvl w:val="0"/>
          <w:numId w:val="8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Orzeczenia sądów powszechnych wszystkich szczebli, , Sądu Najwyższego, Naczelnego Sądu Administracyjnego, Wojewódzkich Sądów Administracyjnych, Trybunału Konstytucyjnego, Sądu Ochrony Konkurencji i Konsumentów.</w:t>
      </w:r>
    </w:p>
    <w:p w14:paraId="6602DCB0" w14:textId="77777777" w:rsidR="00B577E7" w:rsidRPr="00F70F7D" w:rsidRDefault="00B577E7" w:rsidP="00B577E7">
      <w:pPr>
        <w:pStyle w:val="Akapitzlist"/>
        <w:numPr>
          <w:ilvl w:val="0"/>
          <w:numId w:val="8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Orzeczenia Europejskiego Trybunału Praw Człowieka (</w:t>
      </w:r>
      <w:proofErr w:type="spellStart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ETPCz</w:t>
      </w:r>
      <w:proofErr w:type="spellEnd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), Trybunału</w:t>
      </w:r>
    </w:p>
    <w:p w14:paraId="16D92C13" w14:textId="77777777" w:rsidR="00B577E7" w:rsidRPr="00F70F7D" w:rsidRDefault="00B577E7" w:rsidP="00B577E7">
      <w:pPr>
        <w:pStyle w:val="Akapitzlist"/>
        <w:numPr>
          <w:ilvl w:val="0"/>
          <w:numId w:val="8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Sprawiedliwości Unii Europejskiej (TSUE), rezolucje Komitetu Ministrów Rady Europy .</w:t>
      </w:r>
    </w:p>
    <w:p w14:paraId="247C8A1A" w14:textId="77777777" w:rsidR="00B577E7" w:rsidRPr="00F70F7D" w:rsidRDefault="00B577E7" w:rsidP="00B577E7">
      <w:pPr>
        <w:pStyle w:val="Akapitzlist"/>
        <w:numPr>
          <w:ilvl w:val="0"/>
          <w:numId w:val="8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Orzeczenia administracji: wojewodów, Głównej Komisji Arbitrażowej, Regionalnych Izb Obrachunkowych, Samorządowych Kolegiów Odwoławczych, Zespołu Arbitrów przy Prezesie UZP i Krajowej Izby Odwoławczej przy Prezesie UZP, Komisji orzekających w Sprawach o Naruszenie Dyscypliny Finansów Publicznych.</w:t>
      </w:r>
    </w:p>
    <w:p w14:paraId="58CADFEF" w14:textId="77777777" w:rsidR="00B577E7" w:rsidRPr="00F70F7D" w:rsidRDefault="00B577E7" w:rsidP="00B577E7">
      <w:pPr>
        <w:spacing w:line="360" w:lineRule="auto"/>
        <w:ind w:left="142" w:hanging="142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F) Publikacje prawne (komentarze, monografie, artykuły i inne publikacje)</w:t>
      </w:r>
    </w:p>
    <w:p w14:paraId="79FDC184" w14:textId="77777777" w:rsidR="00B577E7" w:rsidRPr="00F70F7D" w:rsidRDefault="00B577E7" w:rsidP="00B577E7">
      <w:pPr>
        <w:pStyle w:val="Akapitzlist"/>
        <w:numPr>
          <w:ilvl w:val="0"/>
          <w:numId w:val="9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Publikacje (w tym artykuły publikowane w czasopismach prawnych i branżowych), do przepisów i orzeczeń wydanych przez instytucje polskie i europejskie.</w:t>
      </w:r>
    </w:p>
    <w:p w14:paraId="16F5E229" w14:textId="77777777" w:rsidR="00B577E7" w:rsidRPr="00F70F7D" w:rsidRDefault="00B577E7" w:rsidP="00B577E7">
      <w:pPr>
        <w:pStyle w:val="Akapitzlist"/>
        <w:numPr>
          <w:ilvl w:val="0"/>
          <w:numId w:val="9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Pod pojęciem komentarza należy rozumieć elektroniczną wersję komentarzy do aktów prawnych (całości aktów lub ich części, w tym aktów zmieniających), zarówno dostępnych wcześniej jako publikacja papierowa, jak i dostępnych</w:t>
      </w:r>
      <w:r w:rsidRPr="00F70F7D">
        <w:rPr>
          <w:rFonts w:ascii="Open Sans" w:hAnsi="Open Sans" w:cs="Open Sans"/>
          <w:color w:val="000000" w:themeColor="text1"/>
          <w:sz w:val="18"/>
          <w:szCs w:val="18"/>
        </w:rPr>
        <w:t xml:space="preserve"> </w:t>
      </w: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wyłącznie w wersji elektronicznej, z zakresu prawa polskiego i prawa europejskiego.</w:t>
      </w:r>
    </w:p>
    <w:p w14:paraId="71F20673" w14:textId="77777777" w:rsidR="00B577E7" w:rsidRPr="00F70F7D" w:rsidRDefault="00B577E7" w:rsidP="00B577E7">
      <w:pPr>
        <w:pStyle w:val="Akapitzlist"/>
        <w:numPr>
          <w:ilvl w:val="0"/>
          <w:numId w:val="9"/>
        </w:num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Powiązane z aktami prawnymi i orzecznictwem, do najważniejszych aktów prawnych z zakresu prawa cywilnego, prawa pracy, prawa karnego, prawa publicznego, między innymi wymienione poniżej:</w:t>
      </w:r>
    </w:p>
    <w:p w14:paraId="6CEE5586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>Komentarze do Kodeksu cywilnego</w:t>
      </w:r>
    </w:p>
    <w:p w14:paraId="0E53D751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postępowania cywilnego</w:t>
      </w:r>
    </w:p>
    <w:p w14:paraId="4177E59D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postępowania karnego</w:t>
      </w:r>
    </w:p>
    <w:p w14:paraId="2FB091CD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postępowania administracyjnego</w:t>
      </w:r>
    </w:p>
    <w:p w14:paraId="23D6302E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ustawy Prawo o postępowaniu przed sądami administracyjnymi</w:t>
      </w:r>
    </w:p>
    <w:p w14:paraId="6B030BDB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spółek handlowych</w:t>
      </w:r>
    </w:p>
    <w:p w14:paraId="6EEAC4C5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Ordynacji podatkowej</w:t>
      </w:r>
    </w:p>
    <w:p w14:paraId="3F8BAF47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karnego</w:t>
      </w:r>
    </w:p>
    <w:p w14:paraId="6CD01E6B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rodzinnego i opiekuńczego</w:t>
      </w:r>
    </w:p>
    <w:p w14:paraId="072BD0BB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pracy</w:t>
      </w:r>
    </w:p>
    <w:p w14:paraId="36F3521A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budowlanego</w:t>
      </w:r>
    </w:p>
    <w:p w14:paraId="2FA183D1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mieszkaniowego</w:t>
      </w:r>
    </w:p>
    <w:p w14:paraId="624AB0A1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dotyczące gospodarki nieruchomościami</w:t>
      </w:r>
    </w:p>
    <w:p w14:paraId="66670A2B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dotyczące prawa upadłościowego i naprawczego</w:t>
      </w:r>
    </w:p>
    <w:p w14:paraId="19FE133A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gospodarczego</w:t>
      </w:r>
    </w:p>
    <w:p w14:paraId="4334585C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własności intelektualnej</w:t>
      </w:r>
    </w:p>
    <w:p w14:paraId="4A2E956B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związane z tematyką zamówień publicznych</w:t>
      </w:r>
    </w:p>
    <w:p w14:paraId="7826F519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Monografie związane z tematyką zamówień publicznych</w:t>
      </w:r>
    </w:p>
    <w:p w14:paraId="0995A803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Monografie i inne opracowania dotyczące prawa polskiego i europejskiego</w:t>
      </w:r>
    </w:p>
    <w:p w14:paraId="4D5B2C2B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karnego skarbowego</w:t>
      </w:r>
    </w:p>
    <w:p w14:paraId="3DBA467D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karnego wykonawczego</w:t>
      </w:r>
    </w:p>
    <w:p w14:paraId="2E2EED39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postępowania w sprawach o wykroczenia</w:t>
      </w:r>
    </w:p>
    <w:p w14:paraId="594F65F1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Kodeksu wykroczeń</w:t>
      </w:r>
    </w:p>
    <w:p w14:paraId="5606BE45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ustawy o finansach publicznych</w:t>
      </w:r>
    </w:p>
    <w:p w14:paraId="5BBE303C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ustawy o postępowaniu egzekucyjnym w administracji</w:t>
      </w:r>
    </w:p>
    <w:p w14:paraId="2A4D5F77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ubezpieczeniowego gospodarczego</w:t>
      </w:r>
    </w:p>
    <w:p w14:paraId="755420C2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spółdzielczego</w:t>
      </w:r>
    </w:p>
    <w:p w14:paraId="3779AC16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prawa ochrony środowiska</w:t>
      </w:r>
    </w:p>
    <w:p w14:paraId="51CB9A56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ustawy o dostępie do informacji publicznej</w:t>
      </w:r>
    </w:p>
    <w:p w14:paraId="0AECC6FD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planowania i zagospodarowania przestrzennego</w:t>
      </w:r>
    </w:p>
    <w:p w14:paraId="389A810C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prawa samorządowego</w:t>
      </w:r>
    </w:p>
    <w:p w14:paraId="1A55787C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prawa wodnego</w:t>
      </w:r>
    </w:p>
    <w:p w14:paraId="5BFBFFB1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ochrony konkurencji i konsumentów</w:t>
      </w:r>
    </w:p>
    <w:p w14:paraId="6D8D108D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prawa telekomunikacyjnego</w:t>
      </w:r>
    </w:p>
    <w:p w14:paraId="57C0D699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prawa konstytucyjnego</w:t>
      </w:r>
    </w:p>
    <w:p w14:paraId="1BF5A2A5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ochrony danych osobowych</w:t>
      </w:r>
    </w:p>
    <w:p w14:paraId="396D5F78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prawa energetycznego</w:t>
      </w:r>
    </w:p>
    <w:p w14:paraId="33F45C08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prawa geologicznego i górniczego</w:t>
      </w:r>
    </w:p>
    <w:p w14:paraId="407B65CA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>Komentarze do ustawy o służbie cywilnej</w:t>
      </w:r>
    </w:p>
    <w:p w14:paraId="58FCC9C7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kosztów sądowych</w:t>
      </w:r>
    </w:p>
    <w:p w14:paraId="74D5B77F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przepisów dot. redagowania i ogłaszania aktów normatywnych (w tym zasad techniki prawodawczej)</w:t>
      </w:r>
    </w:p>
    <w:p w14:paraId="45ED8C08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działu transportu (lotniczy, kolejowy, drogi publiczne, ruch drogowy, prawo przewozowe itp.)</w:t>
      </w:r>
    </w:p>
    <w:p w14:paraId="4521E35A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działu łączności</w:t>
      </w:r>
    </w:p>
    <w:p w14:paraId="401BC25F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z zakresu działalności leczniczej, promocji zatrudnienia i instytucji rynku pracy, itp.</w:t>
      </w:r>
    </w:p>
    <w:p w14:paraId="03FC85B7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przepisów ustawy o cudzoziemcach, o aktach stanu cywilnego i dowodach osobistych, itp.</w:t>
      </w:r>
    </w:p>
    <w:p w14:paraId="09A270BC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dot. szczególnych zasadach przygotowania i realizacji inwestycji w zakresie dróg publicznych, itp.</w:t>
      </w:r>
    </w:p>
    <w:p w14:paraId="37CB9911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Monografie w zakresie partnerstwa publiczno-prywatnego</w:t>
      </w:r>
    </w:p>
    <w:p w14:paraId="18BBE091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ustawy o samorządzie gminnym, powiatowym, samorządzie województwa</w:t>
      </w:r>
    </w:p>
    <w:p w14:paraId="7AA2E7C6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ustawy Kodeks wyborczy</w:t>
      </w:r>
    </w:p>
    <w:p w14:paraId="56A2939C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ustawy o pomocy społecznej</w:t>
      </w:r>
    </w:p>
    <w:p w14:paraId="3605AB1A" w14:textId="77777777" w:rsidR="00B577E7" w:rsidRPr="00F70F7D" w:rsidRDefault="00B577E7" w:rsidP="00B577E7">
      <w:pPr>
        <w:pStyle w:val="Akapitzlist"/>
        <w:numPr>
          <w:ilvl w:val="1"/>
          <w:numId w:val="10"/>
        </w:numPr>
        <w:spacing w:line="360" w:lineRule="auto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Komentarze do aktów prawnych Unii Europejskiej</w:t>
      </w:r>
    </w:p>
    <w:p w14:paraId="1281DFB6" w14:textId="77777777" w:rsidR="00B577E7" w:rsidRPr="00F70F7D" w:rsidRDefault="00B577E7" w:rsidP="00B577E7">
      <w:pPr>
        <w:spacing w:line="360" w:lineRule="auto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G) Baza czasopism</w:t>
      </w:r>
    </w:p>
    <w:p w14:paraId="1B7005BD" w14:textId="77777777" w:rsidR="00B577E7" w:rsidRPr="00F70F7D" w:rsidRDefault="00B577E7" w:rsidP="00B577E7">
      <w:pPr>
        <w:pStyle w:val="Akapitzlist"/>
        <w:spacing w:line="360" w:lineRule="auto"/>
        <w:ind w:left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Dostęp do prasowych czasopism z zakresu prawa i administracji, aktualnie ukazujących się w Polsce, zawierających pełne teksty artykułów lub główne tezy (fragment artykułu). Dopuszcza się dostęp przez Internet.</w:t>
      </w:r>
    </w:p>
    <w:p w14:paraId="3398D51D" w14:textId="77777777" w:rsidR="00B577E7" w:rsidRPr="00F70F7D" w:rsidRDefault="00B577E7" w:rsidP="00B577E7">
      <w:pPr>
        <w:spacing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</w:p>
    <w:p w14:paraId="09348EE2" w14:textId="77777777" w:rsidR="00B577E7" w:rsidRPr="00F70F7D" w:rsidRDefault="00B577E7" w:rsidP="00B577E7">
      <w:pPr>
        <w:spacing w:line="360" w:lineRule="auto"/>
        <w:ind w:left="426" w:hanging="284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H) Glosy i Tezy</w:t>
      </w:r>
    </w:p>
    <w:p w14:paraId="405A234F" w14:textId="77777777" w:rsidR="00B577E7" w:rsidRPr="00F70F7D" w:rsidRDefault="00B577E7" w:rsidP="00B577E7">
      <w:pPr>
        <w:pStyle w:val="Akapitzlist"/>
        <w:spacing w:line="360" w:lineRule="auto"/>
        <w:ind w:left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Glosy i tezy do orzeczeń sądów polskich, orzeczeń sądów europejskich oraz orzeczeń administracji, w tym także publikowane w ogólnodostępnych wydawnictwach i czasopismach (np. Przegląd Prawa i Administracji,</w:t>
      </w:r>
    </w:p>
    <w:p w14:paraId="5D0951CF" w14:textId="77777777" w:rsidR="00B577E7" w:rsidRPr="00F70F7D" w:rsidRDefault="00B577E7" w:rsidP="00B577E7">
      <w:pPr>
        <w:spacing w:after="0" w:line="360" w:lineRule="auto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I) Pozostałe</w:t>
      </w:r>
    </w:p>
    <w:p w14:paraId="4994504F" w14:textId="77777777" w:rsidR="00B577E7" w:rsidRPr="00F70F7D" w:rsidRDefault="00B577E7" w:rsidP="00B577E7">
      <w:pPr>
        <w:pStyle w:val="Akapitzlist"/>
        <w:numPr>
          <w:ilvl w:val="6"/>
          <w:numId w:val="11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Bibliografia prawnicza rozumiana jako wykaz informacji o dokumentach piśmienniczych (książki, czasopisma, prace autorskie), zapisy bibliograficzne zgromadzone i opracowane pod względem merytorycznym.</w:t>
      </w:r>
    </w:p>
    <w:p w14:paraId="59D9C5EF" w14:textId="77777777" w:rsidR="00B577E7" w:rsidRPr="00F70F7D" w:rsidRDefault="00B577E7" w:rsidP="00B577E7">
      <w:pPr>
        <w:pStyle w:val="Akapitzlist"/>
        <w:numPr>
          <w:ilvl w:val="6"/>
          <w:numId w:val="11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Komplet ogłoszeń opublikowanych w Monitorze Sądowym i Gospodarczym (</w:t>
      </w:r>
      <w:proofErr w:type="spellStart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MSiG</w:t>
      </w:r>
      <w:proofErr w:type="spellEnd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) od wejścia w życie ustawy z dnia 30 sierpnia 1997 r. o Krajowym Rejestrze Sądowym.</w:t>
      </w:r>
    </w:p>
    <w:p w14:paraId="128B367F" w14:textId="77777777" w:rsidR="00B577E7" w:rsidRPr="00F70F7D" w:rsidRDefault="00B577E7" w:rsidP="00B577E7">
      <w:pPr>
        <w:pStyle w:val="Akapitzlist"/>
        <w:numPr>
          <w:ilvl w:val="6"/>
          <w:numId w:val="11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Komplet danych rejestrowych KRS opublikowanych w </w:t>
      </w:r>
      <w:proofErr w:type="spellStart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MSiG</w:t>
      </w:r>
      <w:proofErr w:type="spellEnd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od co najmniej 2001 r.</w:t>
      </w:r>
    </w:p>
    <w:p w14:paraId="01B6635B" w14:textId="77777777" w:rsidR="00B577E7" w:rsidRPr="00F70F7D" w:rsidRDefault="00B577E7" w:rsidP="00B577E7">
      <w:pPr>
        <w:pStyle w:val="Akapitzlist"/>
        <w:numPr>
          <w:ilvl w:val="6"/>
          <w:numId w:val="11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Dostęp do informacji z Krajowego Rejestru Sądowego - możliwość wyszukiwania po imieniu i nazwisku, wyświetlanie powiązań między osobami a spółkami, ustawianie alertów na osoby jak na spółki, możliwość wydrukowania oraz kopiowania danych z KRS.</w:t>
      </w:r>
    </w:p>
    <w:p w14:paraId="4D0E5CE5" w14:textId="77777777" w:rsidR="00B577E7" w:rsidRPr="00F70F7D" w:rsidRDefault="00B577E7" w:rsidP="00B577E7">
      <w:pPr>
        <w:pStyle w:val="Akapitzlist"/>
        <w:numPr>
          <w:ilvl w:val="6"/>
          <w:numId w:val="11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>Dostęp do miejscowych planów zagospodarowania przestrzennego tj. kompletu tekstów aktów prawnych w wersji, w jakiej zostały opublikowane w Wojewódzkich Dziennikach Urzędowych, poczynając od wprowadzenia obowiązku wydawania dzienników urzędowych w formie elektronicznej tj. od 2009 r.</w:t>
      </w:r>
    </w:p>
    <w:p w14:paraId="3B0E97EF" w14:textId="77777777" w:rsidR="00B577E7" w:rsidRPr="00F70F7D" w:rsidRDefault="00B577E7" w:rsidP="00B577E7">
      <w:pPr>
        <w:pStyle w:val="Akapitzlist"/>
        <w:numPr>
          <w:ilvl w:val="6"/>
          <w:numId w:val="11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Dostęp do prasowych czasopism z zakresu prawa i administracji, aktualnie ukazujących się w Polsce, zawierających pełne teksty artykułów. </w:t>
      </w:r>
    </w:p>
    <w:p w14:paraId="39E77508" w14:textId="77777777" w:rsidR="00B577E7" w:rsidRPr="00F70F7D" w:rsidRDefault="00B577E7" w:rsidP="00B577E7">
      <w:p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</w:p>
    <w:p w14:paraId="7F817923" w14:textId="77777777" w:rsidR="00B577E7" w:rsidRPr="00F70F7D" w:rsidRDefault="00B577E7" w:rsidP="00B577E7">
      <w:pPr>
        <w:spacing w:after="0" w:line="360" w:lineRule="auto"/>
        <w:ind w:left="426" w:hanging="426"/>
        <w:rPr>
          <w:rFonts w:ascii="Open Sans" w:hAnsi="Open Sans" w:cs="Open Sans"/>
          <w:b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/>
          <w:color w:val="000000" w:themeColor="text1"/>
          <w:sz w:val="18"/>
          <w:szCs w:val="18"/>
        </w:rPr>
        <w:t>IV b). Wymagania dotyczące funkcjonalności</w:t>
      </w:r>
    </w:p>
    <w:p w14:paraId="25112DA0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Metryka aktu prawnego oraz przepisu prawnego - brzmienie aktu i przepisu prawnego przy każdej zmianie, tytuł aktu prawnego, data wydania, data wejścia w życie, data zmiany oraz miejsce publikacji, rodzaj aktu prawnego, a dla aktów już nieobowiązujących informacja o dacie uchylenia aktu.</w:t>
      </w:r>
    </w:p>
    <w:p w14:paraId="1F101AFC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Wzajemne powiązania formalne między aktami prawnymi (relacje typu: zmienia - zmieniony przez, uchyla - uchylony przez, wykonuje - wykonywany przez, ujednolica - ujednolicony przez, wprowadza - wprowadzony przez, interpretuje - interpretowany przez). W zakresie relacji „ujednolica - ujednolicony przez” należy rozumieć możliwość przejścia z poziomu tekstu aktu prawnego pomiędzy tekstem przed ogłoszeniem tekstu jednolitego i po ogłoszeniu takiego tekstu.</w:t>
      </w:r>
    </w:p>
    <w:p w14:paraId="47E7F071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dokonywania przez użytkownika zmiany daty oceny co do obowiązywania aktów z Dz. U. i M.P., czego efektem ma być przywołanie całego systemu prawa - aktów obowiązujących, nieobowiązujących oraz oczekujących (wersji tekstów oraz relacji między aktami, z uwzględnieniem relacji z aktami wykonawczymi) na wybraną przez użytkownika dowolną datę z przeszłości.</w:t>
      </w:r>
    </w:p>
    <w:p w14:paraId="27FFF00D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śledzenia zmian w przepisach na dany dzień - kiedy akt prawa powszechnego wchodzi w życie, kiedy jest zmieniany, bądź też traci moc.</w:t>
      </w:r>
    </w:p>
    <w:p w14:paraId="20A8E3C3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Wyszukiwanie wg identyfikatora aktu prawnego, sygnatury orzeczenia, numeru druku projektu ustawy.</w:t>
      </w:r>
    </w:p>
    <w:p w14:paraId="0A367CCB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Wyszukiwanie wg rocznika, roku i pozycji w dzienniku urzędowym.</w:t>
      </w:r>
    </w:p>
    <w:p w14:paraId="675E4020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Wyszukiwanie wg organu wydającego, rodzaju aktu, indeksu przedmiotowego, słowa/wyrażenia z odmianą fleksyjną.</w:t>
      </w:r>
      <w:r w:rsidRPr="00F70F7D">
        <w:rPr>
          <w:rFonts w:ascii="Open Sans" w:hAnsi="Open Sans" w:cs="Open Sans"/>
          <w:color w:val="000000" w:themeColor="text1"/>
          <w:sz w:val="18"/>
          <w:szCs w:val="18"/>
        </w:rPr>
        <w:t xml:space="preserve"> </w:t>
      </w:r>
    </w:p>
    <w:p w14:paraId="25CEF74D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Wyszukiwanie wg daty wydania, opublikowania, obowiązywania.</w:t>
      </w:r>
    </w:p>
    <w:p w14:paraId="0FF1F920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automatycznego zweryfikowania liczby wyszukanych dokumentów danej kategorii.</w:t>
      </w:r>
    </w:p>
    <w:p w14:paraId="50EF0449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ustawienia alertów o zmianach na akt prawny oraz wybraną jednostkę redakcyjną.</w:t>
      </w:r>
    </w:p>
    <w:p w14:paraId="7C843F2E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Wyszukiwanie wg słów w treści dokumentów znajdujących się w różnych bazach.</w:t>
      </w:r>
    </w:p>
    <w:p w14:paraId="7878BFAB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Wyszukiwanie orzeczeń sądów po składach orzekających</w:t>
      </w:r>
    </w:p>
    <w:p w14:paraId="4B5DFBFB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Wyszukiwanie kodów CPV po nazwie lub numerze CPV</w:t>
      </w:r>
    </w:p>
    <w:p w14:paraId="6F98A592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Zawężanie listy wynikowej aktów prawnych, orzeczeń do rodzaju, wyrazów, fraz zawartych w orzeczeniach.</w:t>
      </w:r>
    </w:p>
    <w:p w14:paraId="4E14C6A0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Bezpośrednia ścieżka dostępu z przepisu prawnego do: aktów wykonawczych, komentarzy, orzeczeń, bazy wzorów pism i umów, bazy pism urzędowych.</w:t>
      </w:r>
    </w:p>
    <w:p w14:paraId="0E14DA3F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automatycznego zweryfikowania liczby dokumentów danej kategorii zawartej w danej bazie.</w:t>
      </w:r>
    </w:p>
    <w:p w14:paraId="51054880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Oznaczenie identyfikacji aktów obowiązujących, nieobowiązujących i oczekujących publikowanych w Dz. U. i M.P.</w:t>
      </w:r>
    </w:p>
    <w:p w14:paraId="52BB3762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lastRenderedPageBreak/>
        <w:t>Baza teleadresowa sądów, urzędów centralnych i prokuratur.</w:t>
      </w:r>
      <w:r w:rsidRPr="00F70F7D">
        <w:rPr>
          <w:rFonts w:ascii="Open Sans" w:hAnsi="Open Sans" w:cs="Open Sans"/>
          <w:color w:val="000000" w:themeColor="text1"/>
          <w:sz w:val="18"/>
          <w:szCs w:val="18"/>
        </w:rPr>
        <w:t xml:space="preserve"> </w:t>
      </w:r>
    </w:p>
    <w:p w14:paraId="73487F1E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wybrania poszczególnych jednostek redakcyjnych przeglądanego aktu i przeniesienie jej do osobnego okna, w którym wyświetlane będą pełne brzmienia tej jednostki po kolejnych zmianach - wersje historyczne poszczególnych jednostek redakcyjnych.</w:t>
      </w:r>
    </w:p>
    <w:p w14:paraId="3F419DE8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Odesłania do komentarzy z poziomu tekstu aktu prawnego (jednostki redakcyjnej) lub z poziomu metryki aktu prawnego.</w:t>
      </w:r>
    </w:p>
    <w:p w14:paraId="5353986F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Odesłania do orzeczeń sądów, orzeczeń administracyjnych, pism urzędowych, wzorów pism umów z poziomu tekstu aktu prawnego lub z poziomu metryki aktu prawnego.</w:t>
      </w:r>
    </w:p>
    <w:p w14:paraId="490BBB48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przeglądania tekstów projektów zmieniających akt prawny obowiązujących z aktu obowiązującego (projekty w relacji z aktem obowiązującym) wraz z uzasadnieniem i oceną skutków regulacji. Dopuszcza się możliwość przeglądania poprzez Internet.</w:t>
      </w:r>
    </w:p>
    <w:p w14:paraId="621C94A4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wyświetlenia treści całego aktu prawnego lub komentarza lub monografii lub jego fragmentu.</w:t>
      </w:r>
    </w:p>
    <w:p w14:paraId="7D7F4F76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kopiowania zarówno całości lub części dokumentów bezpośrednio z programu do edytora tekstu.</w:t>
      </w:r>
    </w:p>
    <w:p w14:paraId="181853B0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wydruku całego aktu prawnego, poszczególnych jednostek redakcyjnych, zaznaczonego fragmentu, z przypisami i bez przypisów z zachowaniem formatowania widocznego na monitorze.</w:t>
      </w:r>
    </w:p>
    <w:p w14:paraId="784F371D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śledzenia zmian w przepisach na dany dzień - kiedy akt prawny wchodzi w życie, kiedy jest zmieniany, bądź też traci moc.</w:t>
      </w:r>
    </w:p>
    <w:p w14:paraId="12024BE0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Prezentacja wszystkich wersji aktów prawnych, w tym możliwość wyboru przez użytkownika wersji aktu prawnego aktualnej na dany dzień.</w:t>
      </w:r>
    </w:p>
    <w:p w14:paraId="7D25790F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pracy na kilku aktach jednocześnie z funkcją otwierania nowego aktu prawnego w nowym oknie (zakładce).</w:t>
      </w:r>
    </w:p>
    <w:p w14:paraId="21A2267E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porównania treści całego aktu prawnego po zmianie do jego wersji przed zmianą.</w:t>
      </w:r>
    </w:p>
    <w:p w14:paraId="64AB74EE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wyszukiwania aktów prawnych z wyborem takich parametrów jak:</w:t>
      </w:r>
    </w:p>
    <w:p w14:paraId="20B1C167" w14:textId="77777777" w:rsidR="00B577E7" w:rsidRPr="00F70F7D" w:rsidRDefault="00B577E7" w:rsidP="00B577E7">
      <w:pPr>
        <w:pStyle w:val="Akapitzlist"/>
        <w:numPr>
          <w:ilvl w:val="1"/>
          <w:numId w:val="13"/>
        </w:numPr>
        <w:spacing w:after="0" w:line="360" w:lineRule="auto"/>
        <w:ind w:left="709" w:hanging="312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kategorie aktu (Dz.U. i M.P./prawo resortowe, prawo miejscowe/projekty ustaw),</w:t>
      </w:r>
    </w:p>
    <w:p w14:paraId="5E555852" w14:textId="77777777" w:rsidR="00B577E7" w:rsidRPr="00F70F7D" w:rsidRDefault="00B577E7" w:rsidP="00B577E7">
      <w:pPr>
        <w:pStyle w:val="Akapitzlist"/>
        <w:spacing w:after="0" w:line="360" w:lineRule="auto"/>
        <w:ind w:left="426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2) status aktu prawnego (wszystkie/obowiązujące/oczekujące/archiwalne, z tymże akty jednorazowe - zmieniające jedynie treść innego aktu nie powinny być oznaczone jako obowiązujące w sposób ciągły).</w:t>
      </w:r>
    </w:p>
    <w:p w14:paraId="0B2A1BB5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wyszukania aktu prawnego po fragmencie tytułu, np. pierwszych literach kilku wyrazów z rozbudowanego częstokroć i podobnego do innych tytułu aktu prawnego,</w:t>
      </w:r>
    </w:p>
    <w:p w14:paraId="6975A107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Możliwość przeszukiwania </w:t>
      </w:r>
      <w:proofErr w:type="spellStart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pełnotekstowego</w:t>
      </w:r>
      <w:proofErr w:type="spellEnd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(a więc także treści aktów prawnych) wszystkich zapisów w systemie z wyborem poszczególnych kategorii jak w pkt 30 </w:t>
      </w:r>
      <w:proofErr w:type="spellStart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ppkt</w:t>
      </w:r>
      <w:proofErr w:type="spellEnd"/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1 i 2, z uwzględnieniem fleksji, tj. wyszukiwaniem wyrazów lub nieprzerwanego ciągu wyrazów z uwzględnieniem ich odmiany gramatycznej;</w:t>
      </w:r>
    </w:p>
    <w:p w14:paraId="60AF852C" w14:textId="77777777" w:rsidR="00B577E7" w:rsidRPr="00F70F7D" w:rsidRDefault="00B577E7" w:rsidP="00B577E7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>Możliwość przeszukiwania także całości (lub w zakresie tylko jednej jednostki redakcyjnej) orzecznictwa oraz odrębnie komentarzy jak i aktów wykonawczych w sposób wskazany w pkt 32, ale także (w przypadku orzecznictwa) z segregowaniem wg sądu/organu;</w:t>
      </w:r>
    </w:p>
    <w:p w14:paraId="08F37D2F" w14:textId="400F3711" w:rsidR="002A35C6" w:rsidRPr="0008690D" w:rsidRDefault="00B577E7" w:rsidP="0008690D">
      <w:pPr>
        <w:pStyle w:val="Akapitzlist"/>
        <w:numPr>
          <w:ilvl w:val="0"/>
          <w:numId w:val="12"/>
        </w:numPr>
        <w:spacing w:after="0" w:line="360" w:lineRule="auto"/>
        <w:ind w:left="426" w:hanging="284"/>
        <w:rPr>
          <w:rFonts w:ascii="Open Sans" w:hAnsi="Open Sans" w:cs="Open Sans"/>
          <w:sz w:val="18"/>
          <w:szCs w:val="18"/>
        </w:rPr>
      </w:pPr>
      <w:r w:rsidRPr="0008690D">
        <w:rPr>
          <w:rFonts w:ascii="Open Sans" w:hAnsi="Open Sans" w:cs="Open Sans"/>
          <w:bCs/>
          <w:color w:val="000000" w:themeColor="text1"/>
          <w:sz w:val="18"/>
          <w:szCs w:val="18"/>
        </w:rPr>
        <w:t>Jednolitość hasłowego nazewnictwa aktów wykonawczych- kolejno wydawane rozporządzenia posiadające te same nazwy muszą być tak samo klasyfikowane przez program.</w:t>
      </w:r>
    </w:p>
    <w:sectPr w:rsidR="002A35C6" w:rsidRPr="00086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FF84" w14:textId="77777777" w:rsidR="00F70F7D" w:rsidRDefault="00F70F7D" w:rsidP="00F70F7D">
      <w:pPr>
        <w:spacing w:after="0"/>
      </w:pPr>
      <w:r>
        <w:separator/>
      </w:r>
    </w:p>
  </w:endnote>
  <w:endnote w:type="continuationSeparator" w:id="0">
    <w:p w14:paraId="70636F9E" w14:textId="77777777" w:rsidR="00F70F7D" w:rsidRDefault="00F70F7D" w:rsidP="00F70F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CB77A" w14:textId="77777777" w:rsidR="0074184C" w:rsidRDefault="007418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597529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16"/>
      </w:rPr>
    </w:sdtEndPr>
    <w:sdtContent>
      <w:p w14:paraId="67C3F77E" w14:textId="1D4018B5" w:rsidR="0008690D" w:rsidRPr="0008690D" w:rsidRDefault="0008690D">
        <w:pPr>
          <w:pStyle w:val="Stopka"/>
          <w:jc w:val="right"/>
          <w:rPr>
            <w:rFonts w:ascii="Open Sans" w:hAnsi="Open Sans" w:cs="Open Sans"/>
            <w:sz w:val="16"/>
            <w:szCs w:val="16"/>
          </w:rPr>
        </w:pPr>
        <w:r w:rsidRPr="0008690D">
          <w:rPr>
            <w:rFonts w:ascii="Open Sans" w:hAnsi="Open Sans" w:cs="Open Sans"/>
            <w:sz w:val="16"/>
            <w:szCs w:val="16"/>
          </w:rPr>
          <w:fldChar w:fldCharType="begin"/>
        </w:r>
        <w:r w:rsidRPr="0008690D">
          <w:rPr>
            <w:rFonts w:ascii="Open Sans" w:hAnsi="Open Sans" w:cs="Open Sans"/>
            <w:sz w:val="16"/>
            <w:szCs w:val="16"/>
          </w:rPr>
          <w:instrText>PAGE   \* MERGEFORMAT</w:instrText>
        </w:r>
        <w:r w:rsidRPr="0008690D">
          <w:rPr>
            <w:rFonts w:ascii="Open Sans" w:hAnsi="Open Sans" w:cs="Open Sans"/>
            <w:sz w:val="16"/>
            <w:szCs w:val="16"/>
          </w:rPr>
          <w:fldChar w:fldCharType="separate"/>
        </w:r>
        <w:r w:rsidRPr="0008690D">
          <w:rPr>
            <w:rFonts w:ascii="Open Sans" w:hAnsi="Open Sans" w:cs="Open Sans"/>
            <w:sz w:val="16"/>
            <w:szCs w:val="16"/>
          </w:rPr>
          <w:t>2</w:t>
        </w:r>
        <w:r w:rsidRPr="0008690D">
          <w:rPr>
            <w:rFonts w:ascii="Open Sans" w:hAnsi="Open Sans" w:cs="Open Sans"/>
            <w:sz w:val="16"/>
            <w:szCs w:val="16"/>
          </w:rPr>
          <w:fldChar w:fldCharType="end"/>
        </w:r>
      </w:p>
    </w:sdtContent>
  </w:sdt>
  <w:p w14:paraId="036AA14F" w14:textId="77777777" w:rsidR="0008690D" w:rsidRDefault="000869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3BD25" w14:textId="77777777" w:rsidR="0074184C" w:rsidRDefault="007418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E08A" w14:textId="77777777" w:rsidR="00F70F7D" w:rsidRDefault="00F70F7D" w:rsidP="00F70F7D">
      <w:pPr>
        <w:spacing w:after="0"/>
      </w:pPr>
      <w:r>
        <w:separator/>
      </w:r>
    </w:p>
  </w:footnote>
  <w:footnote w:type="continuationSeparator" w:id="0">
    <w:p w14:paraId="6956CD02" w14:textId="77777777" w:rsidR="00F70F7D" w:rsidRDefault="00F70F7D" w:rsidP="00F70F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DF4FB" w14:textId="77777777" w:rsidR="0074184C" w:rsidRDefault="007418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CFAA" w14:textId="00F02397" w:rsidR="00F70F7D" w:rsidRPr="00F70F7D" w:rsidRDefault="00F70F7D" w:rsidP="00F70F7D">
    <w:pPr>
      <w:spacing w:after="0" w:line="360" w:lineRule="auto"/>
      <w:ind w:left="1418"/>
      <w:jc w:val="right"/>
      <w:rPr>
        <w:rFonts w:ascii="Open Sans" w:eastAsia="Times New Roman" w:hAnsi="Open Sans" w:cs="Open Sans"/>
        <w:bCs/>
        <w:color w:val="000000" w:themeColor="text1"/>
        <w:sz w:val="18"/>
        <w:szCs w:val="18"/>
      </w:rPr>
    </w:pPr>
    <w:r w:rsidRPr="00F70F7D">
      <w:rPr>
        <w:rFonts w:ascii="Open Sans" w:eastAsia="Times New Roman" w:hAnsi="Open Sans" w:cs="Open Sans"/>
        <w:bCs/>
        <w:color w:val="000000" w:themeColor="text1"/>
        <w:sz w:val="18"/>
        <w:szCs w:val="18"/>
      </w:rPr>
      <w:t xml:space="preserve">Załącznik </w:t>
    </w:r>
    <w:r w:rsidR="008F7EAC">
      <w:rPr>
        <w:rFonts w:ascii="Open Sans" w:eastAsia="Times New Roman" w:hAnsi="Open Sans" w:cs="Open Sans"/>
        <w:bCs/>
        <w:color w:val="000000" w:themeColor="text1"/>
        <w:sz w:val="18"/>
        <w:szCs w:val="18"/>
      </w:rPr>
      <w:t>N</w:t>
    </w:r>
    <w:r w:rsidRPr="00F70F7D">
      <w:rPr>
        <w:rFonts w:ascii="Open Sans" w:eastAsia="Times New Roman" w:hAnsi="Open Sans" w:cs="Open Sans"/>
        <w:bCs/>
        <w:color w:val="000000" w:themeColor="text1"/>
        <w:sz w:val="18"/>
        <w:szCs w:val="18"/>
      </w:rPr>
      <w:t xml:space="preserve">r </w:t>
    </w:r>
    <w:r w:rsidR="0074184C">
      <w:rPr>
        <w:rFonts w:ascii="Open Sans" w:eastAsia="Times New Roman" w:hAnsi="Open Sans" w:cs="Open Sans"/>
        <w:bCs/>
        <w:color w:val="000000" w:themeColor="text1"/>
        <w:sz w:val="18"/>
        <w:szCs w:val="18"/>
      </w:rPr>
      <w:t>1b</w:t>
    </w:r>
    <w:r w:rsidRPr="00F70F7D">
      <w:rPr>
        <w:rFonts w:ascii="Open Sans" w:eastAsia="Times New Roman" w:hAnsi="Open Sans" w:cs="Open Sans"/>
        <w:bCs/>
        <w:color w:val="000000" w:themeColor="text1"/>
        <w:sz w:val="18"/>
        <w:szCs w:val="18"/>
      </w:rPr>
      <w:t xml:space="preserve"> do </w:t>
    </w:r>
    <w:r w:rsidR="008F7EAC">
      <w:rPr>
        <w:rFonts w:ascii="Open Sans" w:eastAsia="Times New Roman" w:hAnsi="Open Sans" w:cs="Open Sans"/>
        <w:bCs/>
        <w:color w:val="000000" w:themeColor="text1"/>
        <w:sz w:val="18"/>
        <w:szCs w:val="18"/>
      </w:rPr>
      <w:t>SWZ</w:t>
    </w:r>
    <w:r w:rsidRPr="00F70F7D">
      <w:rPr>
        <w:rFonts w:ascii="Open Sans" w:eastAsia="Times New Roman" w:hAnsi="Open Sans" w:cs="Open Sans"/>
        <w:bCs/>
        <w:color w:val="000000" w:themeColor="text1"/>
        <w:sz w:val="18"/>
        <w:szCs w:val="18"/>
      </w:rPr>
      <w:t>, cz. 2 postępowania</w:t>
    </w:r>
  </w:p>
  <w:p w14:paraId="0D8F636A" w14:textId="77777777" w:rsidR="00F70F7D" w:rsidRDefault="00F70F7D" w:rsidP="00F70F7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6638" w14:textId="77777777" w:rsidR="0074184C" w:rsidRDefault="00741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0297"/>
    <w:multiLevelType w:val="hybridMultilevel"/>
    <w:tmpl w:val="BED4439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4BF66B2A">
      <w:start w:val="6"/>
      <w:numFmt w:val="decimal"/>
      <w:lvlText w:val="%4."/>
      <w:lvlJc w:val="left"/>
      <w:pPr>
        <w:ind w:left="30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9B03B9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2AB23F8"/>
    <w:multiLevelType w:val="hybridMultilevel"/>
    <w:tmpl w:val="786EB0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4685515"/>
    <w:multiLevelType w:val="hybridMultilevel"/>
    <w:tmpl w:val="FB7EDB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91122"/>
    <w:multiLevelType w:val="hybridMultilevel"/>
    <w:tmpl w:val="FECED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C644E"/>
    <w:multiLevelType w:val="hybridMultilevel"/>
    <w:tmpl w:val="C40CA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F532C"/>
    <w:multiLevelType w:val="hybridMultilevel"/>
    <w:tmpl w:val="27542CE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A2DCC"/>
    <w:multiLevelType w:val="hybridMultilevel"/>
    <w:tmpl w:val="2806D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502C6"/>
    <w:multiLevelType w:val="hybridMultilevel"/>
    <w:tmpl w:val="44BC6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E14B1"/>
    <w:multiLevelType w:val="hybridMultilevel"/>
    <w:tmpl w:val="9BCA0748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745BA"/>
    <w:multiLevelType w:val="hybridMultilevel"/>
    <w:tmpl w:val="6EB821F2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E264607"/>
    <w:multiLevelType w:val="multilevel"/>
    <w:tmpl w:val="80CC723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1"/>
  </w:num>
  <w:num w:numId="11">
    <w:abstractNumId w:val="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E7"/>
    <w:rsid w:val="00002638"/>
    <w:rsid w:val="00005204"/>
    <w:rsid w:val="000058DB"/>
    <w:rsid w:val="00005BCC"/>
    <w:rsid w:val="0002688C"/>
    <w:rsid w:val="00034152"/>
    <w:rsid w:val="00036352"/>
    <w:rsid w:val="00045ED3"/>
    <w:rsid w:val="000503F2"/>
    <w:rsid w:val="00063F82"/>
    <w:rsid w:val="0008040A"/>
    <w:rsid w:val="00081B35"/>
    <w:rsid w:val="0008690D"/>
    <w:rsid w:val="000910DA"/>
    <w:rsid w:val="00096231"/>
    <w:rsid w:val="00097CE9"/>
    <w:rsid w:val="000A5D30"/>
    <w:rsid w:val="000B7D6F"/>
    <w:rsid w:val="000C1ED0"/>
    <w:rsid w:val="000C4B91"/>
    <w:rsid w:val="000D2B5C"/>
    <w:rsid w:val="000E4C18"/>
    <w:rsid w:val="000F1A51"/>
    <w:rsid w:val="000F52A0"/>
    <w:rsid w:val="000F6036"/>
    <w:rsid w:val="001079AF"/>
    <w:rsid w:val="00134EB3"/>
    <w:rsid w:val="00142950"/>
    <w:rsid w:val="00147CAE"/>
    <w:rsid w:val="00163D55"/>
    <w:rsid w:val="00163DBF"/>
    <w:rsid w:val="001807D9"/>
    <w:rsid w:val="001825FA"/>
    <w:rsid w:val="00190CD6"/>
    <w:rsid w:val="001A1E23"/>
    <w:rsid w:val="001A296F"/>
    <w:rsid w:val="001A3CB8"/>
    <w:rsid w:val="001C3EAD"/>
    <w:rsid w:val="001C43BA"/>
    <w:rsid w:val="001C7259"/>
    <w:rsid w:val="001D65EA"/>
    <w:rsid w:val="001E08CD"/>
    <w:rsid w:val="001E1E0E"/>
    <w:rsid w:val="001E3890"/>
    <w:rsid w:val="001E60B2"/>
    <w:rsid w:val="001F494D"/>
    <w:rsid w:val="001F76A4"/>
    <w:rsid w:val="0020145D"/>
    <w:rsid w:val="00203E42"/>
    <w:rsid w:val="002157AA"/>
    <w:rsid w:val="00215A1A"/>
    <w:rsid w:val="00220B18"/>
    <w:rsid w:val="0023478D"/>
    <w:rsid w:val="002353D8"/>
    <w:rsid w:val="00241B7D"/>
    <w:rsid w:val="00243854"/>
    <w:rsid w:val="0024405C"/>
    <w:rsid w:val="00247307"/>
    <w:rsid w:val="00251EC3"/>
    <w:rsid w:val="002554DF"/>
    <w:rsid w:val="00255582"/>
    <w:rsid w:val="00255CE9"/>
    <w:rsid w:val="00270B32"/>
    <w:rsid w:val="00270D63"/>
    <w:rsid w:val="00275D0D"/>
    <w:rsid w:val="002863AF"/>
    <w:rsid w:val="002A2D18"/>
    <w:rsid w:val="002A35C6"/>
    <w:rsid w:val="002A69E6"/>
    <w:rsid w:val="002A7713"/>
    <w:rsid w:val="002B1EB4"/>
    <w:rsid w:val="002B3294"/>
    <w:rsid w:val="002B7749"/>
    <w:rsid w:val="002C0E4C"/>
    <w:rsid w:val="002C41F4"/>
    <w:rsid w:val="002D00C7"/>
    <w:rsid w:val="002D7423"/>
    <w:rsid w:val="002E00AB"/>
    <w:rsid w:val="002E7118"/>
    <w:rsid w:val="002F1514"/>
    <w:rsid w:val="002F5BE5"/>
    <w:rsid w:val="0030703D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91E1D"/>
    <w:rsid w:val="003A2E4B"/>
    <w:rsid w:val="003A312F"/>
    <w:rsid w:val="003A67D9"/>
    <w:rsid w:val="003B7266"/>
    <w:rsid w:val="003C149D"/>
    <w:rsid w:val="003E1BDF"/>
    <w:rsid w:val="003F143A"/>
    <w:rsid w:val="004046A5"/>
    <w:rsid w:val="004059EE"/>
    <w:rsid w:val="00410E70"/>
    <w:rsid w:val="00411B85"/>
    <w:rsid w:val="00415B5C"/>
    <w:rsid w:val="00421912"/>
    <w:rsid w:val="00421B39"/>
    <w:rsid w:val="00423B91"/>
    <w:rsid w:val="0042746F"/>
    <w:rsid w:val="00427743"/>
    <w:rsid w:val="00430133"/>
    <w:rsid w:val="00444523"/>
    <w:rsid w:val="00444CA3"/>
    <w:rsid w:val="00450C4E"/>
    <w:rsid w:val="0045220B"/>
    <w:rsid w:val="00452703"/>
    <w:rsid w:val="004529B0"/>
    <w:rsid w:val="004532FE"/>
    <w:rsid w:val="00460DDA"/>
    <w:rsid w:val="004613DB"/>
    <w:rsid w:val="004677FC"/>
    <w:rsid w:val="004712F1"/>
    <w:rsid w:val="0047269E"/>
    <w:rsid w:val="00475434"/>
    <w:rsid w:val="0048216D"/>
    <w:rsid w:val="00482A8A"/>
    <w:rsid w:val="00486156"/>
    <w:rsid w:val="004B125F"/>
    <w:rsid w:val="004B41CA"/>
    <w:rsid w:val="004C0A3B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53736"/>
    <w:rsid w:val="00563115"/>
    <w:rsid w:val="00572D81"/>
    <w:rsid w:val="00573784"/>
    <w:rsid w:val="00575478"/>
    <w:rsid w:val="005762EE"/>
    <w:rsid w:val="00595E67"/>
    <w:rsid w:val="005B59D9"/>
    <w:rsid w:val="005E2019"/>
    <w:rsid w:val="005E2CA5"/>
    <w:rsid w:val="00602B5A"/>
    <w:rsid w:val="00616B27"/>
    <w:rsid w:val="006217BE"/>
    <w:rsid w:val="00626A9F"/>
    <w:rsid w:val="00635836"/>
    <w:rsid w:val="006402A0"/>
    <w:rsid w:val="006413A8"/>
    <w:rsid w:val="00661F96"/>
    <w:rsid w:val="0067316E"/>
    <w:rsid w:val="0067471B"/>
    <w:rsid w:val="00674D6A"/>
    <w:rsid w:val="00676A27"/>
    <w:rsid w:val="00677EBC"/>
    <w:rsid w:val="00684EEA"/>
    <w:rsid w:val="00690843"/>
    <w:rsid w:val="006A0AF5"/>
    <w:rsid w:val="006A11A9"/>
    <w:rsid w:val="006B27B0"/>
    <w:rsid w:val="006C0423"/>
    <w:rsid w:val="006C12EF"/>
    <w:rsid w:val="006C1E1F"/>
    <w:rsid w:val="006C296A"/>
    <w:rsid w:val="006C55AA"/>
    <w:rsid w:val="006C5FD0"/>
    <w:rsid w:val="006E230C"/>
    <w:rsid w:val="006E514B"/>
    <w:rsid w:val="006E7320"/>
    <w:rsid w:val="006F1954"/>
    <w:rsid w:val="006F28AA"/>
    <w:rsid w:val="006F38D6"/>
    <w:rsid w:val="006F47B6"/>
    <w:rsid w:val="006F68A3"/>
    <w:rsid w:val="006F6DE4"/>
    <w:rsid w:val="0070237B"/>
    <w:rsid w:val="0072505F"/>
    <w:rsid w:val="00732092"/>
    <w:rsid w:val="00732D4B"/>
    <w:rsid w:val="0074184C"/>
    <w:rsid w:val="00741B19"/>
    <w:rsid w:val="00744D4F"/>
    <w:rsid w:val="00745257"/>
    <w:rsid w:val="00763232"/>
    <w:rsid w:val="007706E6"/>
    <w:rsid w:val="00770F80"/>
    <w:rsid w:val="007758E9"/>
    <w:rsid w:val="007834AF"/>
    <w:rsid w:val="00796CEF"/>
    <w:rsid w:val="007B1C0F"/>
    <w:rsid w:val="007B2DEA"/>
    <w:rsid w:val="007B7488"/>
    <w:rsid w:val="007C0DDE"/>
    <w:rsid w:val="007C43B5"/>
    <w:rsid w:val="007D6B64"/>
    <w:rsid w:val="007F48D6"/>
    <w:rsid w:val="007F64EC"/>
    <w:rsid w:val="0080048A"/>
    <w:rsid w:val="00802DE1"/>
    <w:rsid w:val="00804D20"/>
    <w:rsid w:val="008202DD"/>
    <w:rsid w:val="00820484"/>
    <w:rsid w:val="00833930"/>
    <w:rsid w:val="0083399B"/>
    <w:rsid w:val="00841C62"/>
    <w:rsid w:val="008469A5"/>
    <w:rsid w:val="00850A06"/>
    <w:rsid w:val="00872960"/>
    <w:rsid w:val="00880972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8F7EAC"/>
    <w:rsid w:val="00914E43"/>
    <w:rsid w:val="009270BE"/>
    <w:rsid w:val="00931C14"/>
    <w:rsid w:val="009320D5"/>
    <w:rsid w:val="009322D3"/>
    <w:rsid w:val="00934C5A"/>
    <w:rsid w:val="00944F01"/>
    <w:rsid w:val="00952803"/>
    <w:rsid w:val="00961616"/>
    <w:rsid w:val="00963308"/>
    <w:rsid w:val="00966EB2"/>
    <w:rsid w:val="0097506D"/>
    <w:rsid w:val="009964AD"/>
    <w:rsid w:val="00997821"/>
    <w:rsid w:val="009B4A81"/>
    <w:rsid w:val="009B7FFE"/>
    <w:rsid w:val="009D7524"/>
    <w:rsid w:val="009E2AA0"/>
    <w:rsid w:val="009E4966"/>
    <w:rsid w:val="009F4498"/>
    <w:rsid w:val="00A14405"/>
    <w:rsid w:val="00A23B15"/>
    <w:rsid w:val="00A23F24"/>
    <w:rsid w:val="00A241FB"/>
    <w:rsid w:val="00A278E4"/>
    <w:rsid w:val="00A369E3"/>
    <w:rsid w:val="00A36E6A"/>
    <w:rsid w:val="00A40FB8"/>
    <w:rsid w:val="00A426C3"/>
    <w:rsid w:val="00A520BC"/>
    <w:rsid w:val="00A54394"/>
    <w:rsid w:val="00A579EF"/>
    <w:rsid w:val="00A663DD"/>
    <w:rsid w:val="00A71B6A"/>
    <w:rsid w:val="00A71C74"/>
    <w:rsid w:val="00A7344D"/>
    <w:rsid w:val="00A74199"/>
    <w:rsid w:val="00A75538"/>
    <w:rsid w:val="00A771C4"/>
    <w:rsid w:val="00A77B15"/>
    <w:rsid w:val="00A8056B"/>
    <w:rsid w:val="00A82B28"/>
    <w:rsid w:val="00A85CCA"/>
    <w:rsid w:val="00A9186D"/>
    <w:rsid w:val="00A96013"/>
    <w:rsid w:val="00AA2271"/>
    <w:rsid w:val="00AA2F1D"/>
    <w:rsid w:val="00AA5929"/>
    <w:rsid w:val="00AB0C0B"/>
    <w:rsid w:val="00AB0DE3"/>
    <w:rsid w:val="00AB76CB"/>
    <w:rsid w:val="00AD4F67"/>
    <w:rsid w:val="00AD72D7"/>
    <w:rsid w:val="00AD74C1"/>
    <w:rsid w:val="00AF0AFD"/>
    <w:rsid w:val="00AF2365"/>
    <w:rsid w:val="00AF2578"/>
    <w:rsid w:val="00AF33AF"/>
    <w:rsid w:val="00B0779A"/>
    <w:rsid w:val="00B158A8"/>
    <w:rsid w:val="00B158D5"/>
    <w:rsid w:val="00B20719"/>
    <w:rsid w:val="00B23595"/>
    <w:rsid w:val="00B30DBF"/>
    <w:rsid w:val="00B316B4"/>
    <w:rsid w:val="00B40588"/>
    <w:rsid w:val="00B50742"/>
    <w:rsid w:val="00B51538"/>
    <w:rsid w:val="00B53F5C"/>
    <w:rsid w:val="00B55E1A"/>
    <w:rsid w:val="00B574F7"/>
    <w:rsid w:val="00B577E7"/>
    <w:rsid w:val="00B60948"/>
    <w:rsid w:val="00B619CB"/>
    <w:rsid w:val="00B75BA5"/>
    <w:rsid w:val="00B8264C"/>
    <w:rsid w:val="00B92B76"/>
    <w:rsid w:val="00BA0985"/>
    <w:rsid w:val="00BA18B8"/>
    <w:rsid w:val="00BB5B83"/>
    <w:rsid w:val="00BC3BA1"/>
    <w:rsid w:val="00BD26A8"/>
    <w:rsid w:val="00BD7A6C"/>
    <w:rsid w:val="00BE4A5F"/>
    <w:rsid w:val="00BF66DD"/>
    <w:rsid w:val="00C03045"/>
    <w:rsid w:val="00C06CB9"/>
    <w:rsid w:val="00C13B8C"/>
    <w:rsid w:val="00C430CD"/>
    <w:rsid w:val="00C455B9"/>
    <w:rsid w:val="00C4669D"/>
    <w:rsid w:val="00C61417"/>
    <w:rsid w:val="00C6798E"/>
    <w:rsid w:val="00C8055F"/>
    <w:rsid w:val="00C9022C"/>
    <w:rsid w:val="00C92834"/>
    <w:rsid w:val="00C96CB1"/>
    <w:rsid w:val="00CA1255"/>
    <w:rsid w:val="00CA25B2"/>
    <w:rsid w:val="00CA3784"/>
    <w:rsid w:val="00CB00F7"/>
    <w:rsid w:val="00CB25D8"/>
    <w:rsid w:val="00CC35FD"/>
    <w:rsid w:val="00CC6853"/>
    <w:rsid w:val="00CC7ECB"/>
    <w:rsid w:val="00CD1BA8"/>
    <w:rsid w:val="00CD36E4"/>
    <w:rsid w:val="00CD4BD1"/>
    <w:rsid w:val="00CE3FE0"/>
    <w:rsid w:val="00CE6E44"/>
    <w:rsid w:val="00D02B25"/>
    <w:rsid w:val="00D0574A"/>
    <w:rsid w:val="00D05D66"/>
    <w:rsid w:val="00D11EE0"/>
    <w:rsid w:val="00D13D6C"/>
    <w:rsid w:val="00D16341"/>
    <w:rsid w:val="00D215B7"/>
    <w:rsid w:val="00D22FF2"/>
    <w:rsid w:val="00D315CA"/>
    <w:rsid w:val="00D33996"/>
    <w:rsid w:val="00D458A3"/>
    <w:rsid w:val="00D604A5"/>
    <w:rsid w:val="00D62D8A"/>
    <w:rsid w:val="00D673F1"/>
    <w:rsid w:val="00D7693A"/>
    <w:rsid w:val="00D82390"/>
    <w:rsid w:val="00D90678"/>
    <w:rsid w:val="00D930B7"/>
    <w:rsid w:val="00D978B3"/>
    <w:rsid w:val="00DA17E5"/>
    <w:rsid w:val="00DA54E9"/>
    <w:rsid w:val="00DB1C1B"/>
    <w:rsid w:val="00DC47EF"/>
    <w:rsid w:val="00DC48F7"/>
    <w:rsid w:val="00DC6179"/>
    <w:rsid w:val="00DC792D"/>
    <w:rsid w:val="00DE4C49"/>
    <w:rsid w:val="00DE51E4"/>
    <w:rsid w:val="00DF4840"/>
    <w:rsid w:val="00E06F62"/>
    <w:rsid w:val="00E07A03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195B"/>
    <w:rsid w:val="00EB7C65"/>
    <w:rsid w:val="00ED332B"/>
    <w:rsid w:val="00EE1466"/>
    <w:rsid w:val="00EE6164"/>
    <w:rsid w:val="00EE79B1"/>
    <w:rsid w:val="00EE7E00"/>
    <w:rsid w:val="00EF7EB7"/>
    <w:rsid w:val="00F013EA"/>
    <w:rsid w:val="00F02C9D"/>
    <w:rsid w:val="00F03142"/>
    <w:rsid w:val="00F11211"/>
    <w:rsid w:val="00F1143B"/>
    <w:rsid w:val="00F116DE"/>
    <w:rsid w:val="00F177E1"/>
    <w:rsid w:val="00F21223"/>
    <w:rsid w:val="00F21920"/>
    <w:rsid w:val="00F30309"/>
    <w:rsid w:val="00F36434"/>
    <w:rsid w:val="00F44629"/>
    <w:rsid w:val="00F471DE"/>
    <w:rsid w:val="00F47478"/>
    <w:rsid w:val="00F50DFC"/>
    <w:rsid w:val="00F56116"/>
    <w:rsid w:val="00F56807"/>
    <w:rsid w:val="00F57BC5"/>
    <w:rsid w:val="00F6382F"/>
    <w:rsid w:val="00F63B24"/>
    <w:rsid w:val="00F70F7D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C7818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51283"/>
  <w15:chartTrackingRefBased/>
  <w15:docId w15:val="{0E50E3F3-FE04-47F2-B74F-8B107969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7E7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602B5A"/>
    <w:pPr>
      <w:ind w:left="720"/>
      <w:contextualSpacing/>
    </w:p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rsid w:val="00EB195B"/>
    <w:rPr>
      <w:rFonts w:ascii="Tahoma" w:hAnsi="Tahoma" w:cs="Tahoma"/>
      <w:color w:val="595959"/>
      <w:szCs w:val="16"/>
    </w:rPr>
  </w:style>
  <w:style w:type="character" w:customStyle="1" w:styleId="TekstdymkaZnak">
    <w:name w:val="Tekst dymka Znak"/>
    <w:basedOn w:val="Domylnaczcionkaakapitu"/>
    <w:link w:val="Tekstdymka"/>
    <w:rsid w:val="00EB195B"/>
    <w:rPr>
      <w:rFonts w:ascii="Tahoma" w:hAnsi="Tahoma" w:cs="Tahoma"/>
      <w:color w:val="595959"/>
      <w:szCs w:val="16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B577E7"/>
    <w:rPr>
      <w:rFonts w:ascii="Arial Narrow" w:eastAsia="Calibri" w:hAnsi="Arial Narrow" w:cs="Times New Roman"/>
      <w:szCs w:val="20"/>
      <w:lang w:eastAsia="pl-PL"/>
    </w:rPr>
  </w:style>
  <w:style w:type="paragraph" w:customStyle="1" w:styleId="Zacznik">
    <w:name w:val="Załącznik"/>
    <w:basedOn w:val="Normalny"/>
    <w:rsid w:val="00B577E7"/>
    <w:pPr>
      <w:widowControl w:val="0"/>
      <w:numPr>
        <w:numId w:val="1"/>
      </w:numPr>
      <w:adjustRightInd w:val="0"/>
      <w:spacing w:after="0" w:line="360" w:lineRule="atLeast"/>
      <w:jc w:val="right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treci2Pogrubienie">
    <w:name w:val="Tekst treści (2) + Pogrubienie"/>
    <w:basedOn w:val="Domylnaczcionkaakapitu"/>
    <w:rsid w:val="00B577E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F70F7D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70F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0F7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70F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3270</Words>
  <Characters>19622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Piotr</dc:creator>
  <cp:keywords/>
  <dc:description/>
  <cp:lastModifiedBy>Porucznik Dariusz</cp:lastModifiedBy>
  <cp:revision>4</cp:revision>
  <dcterms:created xsi:type="dcterms:W3CDTF">2025-12-12T09:12:00Z</dcterms:created>
  <dcterms:modified xsi:type="dcterms:W3CDTF">2025-12-12T10:39:00Z</dcterms:modified>
</cp:coreProperties>
</file>